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894" w:rsidRPr="00832894" w:rsidRDefault="00832894" w:rsidP="0083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 третьего созыва от 20 октября 2009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319 «Об утверждении Правил землепользования и застройки муниципального образования городского округа «Усинск»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291755" w:rsidRPr="00291755" w:rsidRDefault="00291755" w:rsidP="00291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 34 Градостроительного кодекса Российской Федерации, протоколом публичных слушаний от 10 августа 2023 года, заключением по результатам публичных слушаний от 15 августа 2023 года,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29175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 Республики Коми, Совет муниципального округа «Усинск» Республики Коми</w:t>
      </w:r>
    </w:p>
    <w:p w:rsidR="00291755" w:rsidRPr="00291755" w:rsidRDefault="00291755" w:rsidP="0029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755" w:rsidRPr="00291755" w:rsidRDefault="00291755" w:rsidP="00291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17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9175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91755" w:rsidRPr="00291755" w:rsidRDefault="00291755" w:rsidP="00291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755" w:rsidRPr="00291755" w:rsidRDefault="00291755" w:rsidP="00291755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291755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291755">
        <w:rPr>
          <w:rFonts w:ascii="Times New Roman" w:eastAsia="Arial" w:hAnsi="Times New Roman" w:cs="Arial"/>
          <w:sz w:val="28"/>
          <w:szCs w:val="28"/>
          <w:lang w:eastAsia="ar-SA"/>
        </w:rPr>
        <w:t>решение пятнадцатой сессии Совета муниципального образования городского округа «Усинск» от 20 октября 2009 года №</w:t>
      </w:r>
      <w:r w:rsidR="004E67D1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291755">
        <w:rPr>
          <w:rFonts w:ascii="Times New Roman" w:eastAsia="Arial" w:hAnsi="Times New Roman" w:cs="Arial"/>
          <w:sz w:val="28"/>
          <w:szCs w:val="28"/>
          <w:lang w:eastAsia="ar-SA"/>
        </w:rPr>
        <w:t xml:space="preserve">319 «Об утверждении Правил землепользования и застройки муниципального </w:t>
      </w:r>
      <w:r w:rsidRPr="00291755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«Усинск», изменения, дополнив раздел «ЗД. Зона объектов здравоохранения» статьи 38 позицией, согласно приложению к настоящему решению.</w:t>
      </w:r>
    </w:p>
    <w:p w:rsidR="00291755" w:rsidRPr="00291755" w:rsidRDefault="00291755" w:rsidP="0029175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7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17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по вопросам бюджета, муниципальному имуществу и развитию территории.</w:t>
      </w:r>
    </w:p>
    <w:p w:rsidR="00291755" w:rsidRPr="00291755" w:rsidRDefault="00291755" w:rsidP="00291755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291755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 (обнародования).</w:t>
      </w:r>
    </w:p>
    <w:p w:rsidR="00B24638" w:rsidRPr="00B24638" w:rsidRDefault="00B24638" w:rsidP="00B24638">
      <w:pPr>
        <w:suppressAutoHyphens/>
        <w:autoSpaceDE w:val="0"/>
        <w:spacing w:after="0" w:line="240" w:lineRule="auto"/>
        <w:ind w:right="-185" w:firstLine="708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2A" w:rsidRPr="00CD6D6D" w:rsidRDefault="0054392A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832894" w:rsidRPr="00CD6D6D" w:rsidRDefault="00832894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29175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B24638" w:rsidRDefault="00B24638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B24638" w:rsidSect="00236191">
          <w:headerReference w:type="default" r:id="rId9"/>
          <w:pgSz w:w="11906" w:h="16838"/>
          <w:pgMar w:top="680" w:right="737" w:bottom="993" w:left="1418" w:header="425" w:footer="414" w:gutter="0"/>
          <w:cols w:space="708"/>
          <w:titlePg/>
          <w:docGrid w:linePitch="360"/>
        </w:sectPr>
      </w:pPr>
    </w:p>
    <w:p w:rsidR="00832894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291755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:rsidR="00832894" w:rsidRDefault="00832894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755" w:rsidRPr="00291755" w:rsidRDefault="00291755" w:rsidP="00291755">
      <w:pPr>
        <w:spacing w:after="0" w:line="240" w:lineRule="auto"/>
        <w:ind w:left="426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1755">
        <w:rPr>
          <w:rFonts w:ascii="Times New Roman" w:hAnsi="Times New Roman"/>
          <w:b/>
          <w:bCs/>
          <w:color w:val="000000"/>
          <w:sz w:val="28"/>
          <w:szCs w:val="28"/>
        </w:rPr>
        <w:t>ЗД. ЗОНА ОБЪЕКТОВ ЗДРАВООХРАНЕНИЯ</w:t>
      </w:r>
    </w:p>
    <w:p w:rsidR="00291755" w:rsidRPr="00291755" w:rsidRDefault="00291755" w:rsidP="0029175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755">
        <w:rPr>
          <w:rFonts w:ascii="Times New Roman" w:hAnsi="Times New Roman"/>
          <w:iCs/>
          <w:color w:val="000000"/>
          <w:sz w:val="28"/>
          <w:szCs w:val="28"/>
        </w:rPr>
        <w:t>Зона объектов здравоохранения выделена для обеспечения правовых условий формирования территорий, на которых осуществляется деятельность объектов медицинского назначения.</w:t>
      </w:r>
    </w:p>
    <w:p w:rsidR="00291755" w:rsidRPr="00291755" w:rsidRDefault="00291755" w:rsidP="002917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91755" w:rsidRPr="00291755" w:rsidRDefault="00291755" w:rsidP="002917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1755">
        <w:rPr>
          <w:rFonts w:ascii="Times New Roman" w:hAnsi="Times New Roman"/>
          <w:color w:val="000000"/>
          <w:sz w:val="28"/>
          <w:szCs w:val="28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FA792B" w:rsidRPr="0054392A" w:rsidRDefault="00FA792B" w:rsidP="00FA7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77"/>
        <w:gridCol w:w="3969"/>
        <w:gridCol w:w="3118"/>
      </w:tblGrid>
      <w:tr w:rsidR="00FA792B" w:rsidRPr="00FA792B" w:rsidTr="001C5E09">
        <w:trPr>
          <w:trHeight w:val="555"/>
        </w:trPr>
        <w:tc>
          <w:tcPr>
            <w:tcW w:w="2410" w:type="dxa"/>
          </w:tcPr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977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ОБЪЕКТОВ СТРОИТЕЛЬСТВА (РЕКОНСТРУКЦИИ)  РАЗРЕШЕННОГО ИСПОЛЬЗОВАНИЯ</w:t>
            </w:r>
          </w:p>
        </w:tc>
        <w:tc>
          <w:tcPr>
            <w:tcW w:w="3969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3118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291755" w:rsidRPr="008E32E3" w:rsidTr="001C5E0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55" w:rsidRPr="00291755" w:rsidRDefault="00291755" w:rsidP="00291755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Обслуживание автотранспорта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55" w:rsidRPr="00291755" w:rsidRDefault="00291755" w:rsidP="001C5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  <w:p w:rsidR="00291755" w:rsidRPr="00291755" w:rsidRDefault="00291755" w:rsidP="001C5E09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55" w:rsidRPr="00291755" w:rsidRDefault="00291755" w:rsidP="001C5E09">
            <w:pPr>
              <w:pStyle w:val="af6"/>
              <w:numPr>
                <w:ilvl w:val="0"/>
                <w:numId w:val="42"/>
              </w:numPr>
              <w:ind w:left="303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размещение гостевых автостоянок (парковок) автомобилей без права возведения объектов капитального строительства;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42"/>
              </w:numPr>
              <w:ind w:left="303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отдельно стоящие, встроенно-пристроенные или </w:t>
            </w: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подземные гаражи к учреждению здравоохранения с хозяйственными помещениями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55" w:rsidRPr="00291755" w:rsidRDefault="00291755" w:rsidP="001C5E09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минимальная/ максимальная площадь земельных участков – 25 </w:t>
            </w:r>
            <w:proofErr w:type="spellStart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/ 2500 </w:t>
            </w:r>
            <w:proofErr w:type="spellStart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             100 </w:t>
            </w:r>
            <w:proofErr w:type="spellStart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машино</w:t>
            </w:r>
            <w:proofErr w:type="spellEnd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-мест);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33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максимальная высота зданий, строений, сооружений от уровня земли – не подлежит ограничению;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20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</w:t>
            </w: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участков вдоль фронта улицы (проезда) – не подлежит ограничению;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20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от границы земельного участка – 1 м;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80%;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максимальная вместимость до 50 </w:t>
            </w:r>
            <w:proofErr w:type="spellStart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машино</w:t>
            </w:r>
            <w:proofErr w:type="spellEnd"/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-мест;</w:t>
            </w:r>
          </w:p>
          <w:p w:rsidR="00291755" w:rsidRPr="00291755" w:rsidRDefault="00291755" w:rsidP="001C5E09">
            <w:pPr>
              <w:pStyle w:val="af6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55" w:rsidRPr="00291755" w:rsidRDefault="00291755" w:rsidP="001C5E09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917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 подлежит ограничению</w:t>
            </w:r>
          </w:p>
          <w:p w:rsidR="00291755" w:rsidRPr="00291755" w:rsidRDefault="00291755" w:rsidP="001C5E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4392A" w:rsidRPr="00832894" w:rsidRDefault="0054392A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392A" w:rsidRPr="00832894" w:rsidSect="00B24638">
      <w:pgSz w:w="16838" w:h="11906" w:orient="landscape"/>
      <w:pgMar w:top="1418" w:right="680" w:bottom="737" w:left="992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36" w:rsidRDefault="00230D36" w:rsidP="009703C7">
      <w:pPr>
        <w:spacing w:after="0" w:line="240" w:lineRule="auto"/>
      </w:pPr>
      <w:r>
        <w:separator/>
      </w:r>
    </w:p>
  </w:endnote>
  <w:endnote w:type="continuationSeparator" w:id="0">
    <w:p w:rsidR="00230D36" w:rsidRDefault="00230D3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36" w:rsidRDefault="00230D36" w:rsidP="009703C7">
      <w:pPr>
        <w:spacing w:after="0" w:line="240" w:lineRule="auto"/>
      </w:pPr>
      <w:r>
        <w:separator/>
      </w:r>
    </w:p>
  </w:footnote>
  <w:footnote w:type="continuationSeparator" w:id="0">
    <w:p w:rsidR="00230D36" w:rsidRDefault="00230D3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C9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D6035"/>
    <w:multiLevelType w:val="hybridMultilevel"/>
    <w:tmpl w:val="23561EE4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B31F84"/>
    <w:multiLevelType w:val="hybridMultilevel"/>
    <w:tmpl w:val="9D38037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8D91D5F"/>
    <w:multiLevelType w:val="hybridMultilevel"/>
    <w:tmpl w:val="C47C570C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D4AEC462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B9A721C"/>
    <w:multiLevelType w:val="hybridMultilevel"/>
    <w:tmpl w:val="62F27592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3AA0"/>
    <w:multiLevelType w:val="hybridMultilevel"/>
    <w:tmpl w:val="F7D0770E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6A3252B"/>
    <w:multiLevelType w:val="hybridMultilevel"/>
    <w:tmpl w:val="B7E44ABE"/>
    <w:lvl w:ilvl="0" w:tplc="1116B72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5"/>
  </w:num>
  <w:num w:numId="5">
    <w:abstractNumId w:val="7"/>
  </w:num>
  <w:num w:numId="6">
    <w:abstractNumId w:val="3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11"/>
  </w:num>
  <w:num w:numId="12">
    <w:abstractNumId w:val="34"/>
  </w:num>
  <w:num w:numId="13">
    <w:abstractNumId w:val="1"/>
  </w:num>
  <w:num w:numId="14">
    <w:abstractNumId w:val="27"/>
  </w:num>
  <w:num w:numId="15">
    <w:abstractNumId w:val="24"/>
  </w:num>
  <w:num w:numId="16">
    <w:abstractNumId w:val="38"/>
  </w:num>
  <w:num w:numId="17">
    <w:abstractNumId w:val="38"/>
  </w:num>
  <w:num w:numId="18">
    <w:abstractNumId w:val="26"/>
  </w:num>
  <w:num w:numId="19">
    <w:abstractNumId w:val="33"/>
  </w:num>
  <w:num w:numId="20">
    <w:abstractNumId w:val="23"/>
  </w:num>
  <w:num w:numId="21">
    <w:abstractNumId w:val="15"/>
  </w:num>
  <w:num w:numId="22">
    <w:abstractNumId w:val="8"/>
  </w:num>
  <w:num w:numId="23">
    <w:abstractNumId w:val="14"/>
  </w:num>
  <w:num w:numId="24">
    <w:abstractNumId w:val="40"/>
  </w:num>
  <w:num w:numId="25">
    <w:abstractNumId w:val="28"/>
  </w:num>
  <w:num w:numId="26">
    <w:abstractNumId w:val="22"/>
  </w:num>
  <w:num w:numId="27">
    <w:abstractNumId w:val="12"/>
  </w:num>
  <w:num w:numId="28">
    <w:abstractNumId w:val="4"/>
  </w:num>
  <w:num w:numId="29">
    <w:abstractNumId w:val="1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6"/>
  </w:num>
  <w:num w:numId="34">
    <w:abstractNumId w:val="39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0"/>
  </w:num>
  <w:num w:numId="42">
    <w:abstractNumId w:val="10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C5E09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0D36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1755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810A1"/>
    <w:rsid w:val="00493ED4"/>
    <w:rsid w:val="004A0416"/>
    <w:rsid w:val="004B1339"/>
    <w:rsid w:val="004D37C5"/>
    <w:rsid w:val="004D5547"/>
    <w:rsid w:val="004E12A5"/>
    <w:rsid w:val="004E1A1C"/>
    <w:rsid w:val="004E67D1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4392A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6C9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D5ECF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850E7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4638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6876"/>
    <w:rsid w:val="00CF713D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F52150"/>
  </w:style>
  <w:style w:type="character" w:customStyle="1" w:styleId="a7">
    <w:name w:val="Текст выноски Знак"/>
    <w:link w:val="a6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Hyperlink"/>
    <w:rsid w:val="00F52150"/>
    <w:rPr>
      <w:color w:val="0000FF"/>
      <w:u w:val="single"/>
    </w:rPr>
  </w:style>
  <w:style w:type="paragraph" w:styleId="af6">
    <w:name w:val="No Spacing"/>
    <w:link w:val="af7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917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F52150"/>
  </w:style>
  <w:style w:type="character" w:customStyle="1" w:styleId="a7">
    <w:name w:val="Текст выноски Знак"/>
    <w:link w:val="a6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Hyperlink"/>
    <w:rsid w:val="00F52150"/>
    <w:rPr>
      <w:color w:val="0000FF"/>
      <w:u w:val="single"/>
    </w:rPr>
  </w:style>
  <w:style w:type="paragraph" w:styleId="af6">
    <w:name w:val="No Spacing"/>
    <w:link w:val="af7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4392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917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D54B-8E9D-4F46-ACAA-0FCE8DC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14</cp:revision>
  <cp:lastPrinted>2023-06-08T07:48:00Z</cp:lastPrinted>
  <dcterms:created xsi:type="dcterms:W3CDTF">2023-09-07T10:16:00Z</dcterms:created>
  <dcterms:modified xsi:type="dcterms:W3CDTF">2023-09-11T12:11:00Z</dcterms:modified>
</cp:coreProperties>
</file>