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«Усинск»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1658C7" w:rsidRPr="00CD6D6D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1658C7" w:rsidRPr="00CD6D6D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894" w:rsidRPr="00832894" w:rsidRDefault="00832894" w:rsidP="0083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пятнадцатой сессии Совета муниципального образования городского округа «Усинск» третьего созыва от 20 октября 2009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319 «Об утверждении Правил землепользования и застройки муниципального образования городского округа «Усинск»</w:t>
      </w:r>
    </w:p>
    <w:p w:rsidR="008372DD" w:rsidRPr="00CD6D6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CD6D6D" w:rsidRPr="00CD6D6D" w:rsidTr="00821848">
        <w:trPr>
          <w:trHeight w:val="788"/>
        </w:trPr>
        <w:tc>
          <w:tcPr>
            <w:tcW w:w="4873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54392A" w:rsidRPr="0054392A" w:rsidRDefault="0054392A" w:rsidP="00543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 34 Градостроительного кодекса Российской Федерации, протоколом публичных слушаний от 15 июня 2023 года, заключением по результатам публичных слушаний от 20 июня 2023 года,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54392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 Республики Коми, Совет муниципального округа «Усинск» Республики Коми</w:t>
      </w:r>
    </w:p>
    <w:p w:rsidR="0054392A" w:rsidRPr="0054392A" w:rsidRDefault="0054392A" w:rsidP="00543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2A" w:rsidRPr="0054392A" w:rsidRDefault="0054392A" w:rsidP="005439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9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439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4392A" w:rsidRPr="0054392A" w:rsidRDefault="0054392A" w:rsidP="005439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2A" w:rsidRPr="0054392A" w:rsidRDefault="0054392A" w:rsidP="0054392A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54392A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54392A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№319 «Об утверждении Правил землепользования и застройки муниципального </w:t>
      </w:r>
      <w:r w:rsidRPr="0054392A">
        <w:rPr>
          <w:rFonts w:ascii="Times New Roman" w:eastAsia="Arial" w:hAnsi="Times New Roman"/>
          <w:sz w:val="28"/>
          <w:szCs w:val="28"/>
          <w:lang w:eastAsia="ar-SA"/>
        </w:rPr>
        <w:t>образования городского округа «Усинск», изменения, дополнив раздел «Ж.2.</w:t>
      </w:r>
      <w:r w:rsidRPr="0054392A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54392A">
        <w:rPr>
          <w:rFonts w:ascii="Times New Roman" w:eastAsia="Arial" w:hAnsi="Times New Roman"/>
          <w:sz w:val="28"/>
          <w:szCs w:val="28"/>
          <w:lang w:eastAsia="ar-SA"/>
        </w:rPr>
        <w:t>Зона застройки малоэтажными жилыми домами» статьи 38 позицией, согласно приложению к настоящему решению.</w:t>
      </w:r>
    </w:p>
    <w:p w:rsidR="0054392A" w:rsidRPr="0054392A" w:rsidRDefault="0054392A" w:rsidP="0054392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392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«Усинск» по вопросам бюджета, муниципальному имуществу и развитию территории.</w:t>
      </w:r>
    </w:p>
    <w:p w:rsidR="0054392A" w:rsidRPr="0054392A" w:rsidRDefault="0054392A" w:rsidP="0054392A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54392A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Настоящее решение вступает в силу со дня официального опубликования (обнародования).</w:t>
      </w:r>
    </w:p>
    <w:p w:rsidR="00B24638" w:rsidRPr="00B24638" w:rsidRDefault="00B24638" w:rsidP="00B24638">
      <w:pPr>
        <w:suppressAutoHyphens/>
        <w:autoSpaceDE w:val="0"/>
        <w:spacing w:after="0" w:line="240" w:lineRule="auto"/>
        <w:ind w:right="-185" w:firstLine="708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2A" w:rsidRPr="00CD6D6D" w:rsidRDefault="0054392A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832894" w:rsidRPr="00CD6D6D" w:rsidRDefault="00832894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54392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B24638" w:rsidRDefault="00B24638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B24638" w:rsidSect="00236191">
          <w:headerReference w:type="default" r:id="rId9"/>
          <w:pgSz w:w="11906" w:h="16838"/>
          <w:pgMar w:top="680" w:right="737" w:bottom="993" w:left="1418" w:header="425" w:footer="414" w:gutter="0"/>
          <w:cols w:space="708"/>
          <w:titlePg/>
          <w:docGrid w:linePitch="360"/>
        </w:sectPr>
      </w:pPr>
    </w:p>
    <w:p w:rsidR="00832894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семнадцатой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07 сентября 2023 года № 44</w:t>
      </w:r>
      <w:r w:rsidR="0054392A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:rsidR="00832894" w:rsidRDefault="00832894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38" w:rsidRDefault="00B24638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92A" w:rsidRPr="0054392A" w:rsidRDefault="0054392A" w:rsidP="0054392A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54392A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>Ж.2. ЗАСТРОЙКИ МАЛОЭТАЖНЫМИ ЖИЛЫМИ ДОМАМИ</w:t>
      </w:r>
    </w:p>
    <w:p w:rsidR="0054392A" w:rsidRPr="0054392A" w:rsidRDefault="0054392A" w:rsidP="0054392A">
      <w:pPr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54392A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Зона застройки малоэтажными жилыми домами выделена для формирования жилых районов с размещением многоквартирных жилых домов (1-4 этажа). Допускается размещение сопутствующих объектов повседневного обслуживания, коммунальных предприятий, площадок для отдыха, игр, спортивные площадки, а также размещение на земельных участках многоквартирных жилых домов хозяйственных построек (без содержания домашнего скота и птицы) и гаражей для жителей, проживающих в этих домах. </w:t>
      </w:r>
    </w:p>
    <w:p w:rsidR="0054392A" w:rsidRPr="0054392A" w:rsidRDefault="0054392A" w:rsidP="0054392A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FA792B" w:rsidRPr="0054392A" w:rsidRDefault="0054392A" w:rsidP="005439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4392A">
        <w:rPr>
          <w:rFonts w:ascii="Times New Roman" w:eastAsia="Arial" w:hAnsi="Times New Roman"/>
          <w:color w:val="000000"/>
          <w:sz w:val="28"/>
          <w:szCs w:val="28"/>
          <w:lang w:eastAsia="ar-SA"/>
        </w:rPr>
        <w:t>ОСНОВНЫЕ ВИДЫ И ПАРАМЕТРЫ РАЗРЕШЕННОГО ИСПОЛЬЗОВАНИЯ  ЗЕМЕЛЬНЫХ УЧАСТКОВ И ОБЪЕКТОВ КАПИТАЛЬНОГО СТРОИТЕЛЬСТВА</w:t>
      </w:r>
    </w:p>
    <w:p w:rsidR="00FA792B" w:rsidRPr="0054392A" w:rsidRDefault="00FA792B" w:rsidP="00FA7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77"/>
        <w:gridCol w:w="3827"/>
        <w:gridCol w:w="3260"/>
      </w:tblGrid>
      <w:tr w:rsidR="00FA792B" w:rsidRPr="00FA792B" w:rsidTr="008D5ECF">
        <w:trPr>
          <w:trHeight w:val="555"/>
        </w:trPr>
        <w:tc>
          <w:tcPr>
            <w:tcW w:w="2410" w:type="dxa"/>
          </w:tcPr>
          <w:p w:rsidR="00FA792B" w:rsidRPr="00FA792B" w:rsidRDefault="00FA792B" w:rsidP="00E61EF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FA792B" w:rsidRPr="00FA792B" w:rsidRDefault="00FA792B" w:rsidP="00E61EF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977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НАИМЕНОВАНИЕ ОБЪЕКТОВ СТРОИТЕЛЬСТВА (РЕКОНСТРУКЦИИ)  РАЗРЕШЕННОГО ИСПОЛЬЗОВАНИЯ</w:t>
            </w:r>
          </w:p>
        </w:tc>
        <w:tc>
          <w:tcPr>
            <w:tcW w:w="3827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3260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54392A" w:rsidRPr="008E32E3" w:rsidTr="008D5ECF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A" w:rsidRPr="0054392A" w:rsidRDefault="0054392A" w:rsidP="0054392A">
            <w:pPr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Среднее и высшее профессиональное образование</w:t>
            </w:r>
          </w:p>
          <w:p w:rsidR="0054392A" w:rsidRPr="0054392A" w:rsidRDefault="0054392A" w:rsidP="0054392A">
            <w:pPr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Размещение объектов капитального строительства, предназначенных для профессионального </w:t>
            </w: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A" w:rsidRPr="0054392A" w:rsidRDefault="0054392A" w:rsidP="008D5ECF">
            <w:pPr>
              <w:pStyle w:val="af5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колледжи;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профессиональные технические училища художественные;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музыкальные училища;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общества знаний; 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317" w:hanging="31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институты;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317" w:hanging="31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университеты;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317" w:hanging="31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организации по переподготовке и повышению квалификации специалистов;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317" w:hanging="31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общежитие при учебном заведении</w:t>
            </w:r>
          </w:p>
          <w:p w:rsidR="0054392A" w:rsidRPr="0054392A" w:rsidRDefault="0054392A" w:rsidP="008D5ECF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минимальная/максимальная площадь земельных участков  – 500 </w:t>
            </w:r>
            <w:proofErr w:type="spellStart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/ 50000 </w:t>
            </w:r>
            <w:proofErr w:type="spellStart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(при вместимости до 1000 чел.);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</w:t>
            </w: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надземных этажей зданий – 3 этажа;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33"/>
              </w:num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20"/>
              </w:num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от границы земельного участка – 3 м;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40%;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A" w:rsidRPr="0054392A" w:rsidRDefault="0054392A" w:rsidP="008D5ECF">
            <w:pPr>
              <w:pStyle w:val="af5"/>
              <w:numPr>
                <w:ilvl w:val="0"/>
                <w:numId w:val="20"/>
              </w:numPr>
              <w:tabs>
                <w:tab w:val="left" w:pos="306"/>
              </w:tabs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Ж.2.ЗВ Зона застройки малоэтажными жилыми домами 1-4 этажа в сфере </w:t>
            </w:r>
            <w:proofErr w:type="gramStart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действия ограничений зоны санитарной охраны </w:t>
            </w: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источников водоснабжения</w:t>
            </w:r>
            <w:proofErr w:type="gramEnd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tabs>
                <w:tab w:val="left" w:pos="306"/>
              </w:tabs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Ж.2.ВО. Зона застройки малоэтажными жилыми домами 1-4 этажа в сфере действия ограничений водоохраной зоны;</w:t>
            </w:r>
            <w:r w:rsidR="008D5EC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водоохраной зоны;</w:t>
            </w:r>
          </w:p>
          <w:p w:rsidR="0054392A" w:rsidRPr="0054392A" w:rsidRDefault="0054392A" w:rsidP="008D5ECF">
            <w:pPr>
              <w:pStyle w:val="af5"/>
              <w:numPr>
                <w:ilvl w:val="0"/>
                <w:numId w:val="40"/>
              </w:numPr>
              <w:tabs>
                <w:tab w:val="left" w:pos="306"/>
              </w:tabs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ЗЗиП</w:t>
            </w:r>
            <w:proofErr w:type="spellEnd"/>
            <w:r w:rsidRPr="005439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– зоны затопления и подтопления;</w:t>
            </w:r>
          </w:p>
        </w:tc>
      </w:tr>
    </w:tbl>
    <w:p w:rsidR="0054392A" w:rsidRPr="00832894" w:rsidRDefault="0054392A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392A" w:rsidRPr="00832894" w:rsidSect="00B24638">
      <w:pgSz w:w="16838" w:h="11906" w:orient="landscape"/>
      <w:pgMar w:top="1418" w:right="680" w:bottom="737" w:left="992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30" w:rsidRDefault="00907230" w:rsidP="009703C7">
      <w:pPr>
        <w:spacing w:after="0" w:line="240" w:lineRule="auto"/>
      </w:pPr>
      <w:r>
        <w:separator/>
      </w:r>
    </w:p>
  </w:endnote>
  <w:endnote w:type="continuationSeparator" w:id="0">
    <w:p w:rsidR="00907230" w:rsidRDefault="0090723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30" w:rsidRDefault="00907230" w:rsidP="009703C7">
      <w:pPr>
        <w:spacing w:after="0" w:line="240" w:lineRule="auto"/>
      </w:pPr>
      <w:r>
        <w:separator/>
      </w:r>
    </w:p>
  </w:footnote>
  <w:footnote w:type="continuationSeparator" w:id="0">
    <w:p w:rsidR="00907230" w:rsidRDefault="0090723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0F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DB703B"/>
    <w:multiLevelType w:val="hybridMultilevel"/>
    <w:tmpl w:val="9006A26C"/>
    <w:lvl w:ilvl="0" w:tplc="E02C82CE">
      <w:start w:val="1"/>
      <w:numFmt w:val="decimal"/>
      <w:lvlText w:val="%1."/>
      <w:lvlJc w:val="left"/>
      <w:pPr>
        <w:ind w:left="1668" w:hanging="9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8D91D5F"/>
    <w:multiLevelType w:val="hybridMultilevel"/>
    <w:tmpl w:val="C47C570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4739C"/>
    <w:multiLevelType w:val="hybridMultilevel"/>
    <w:tmpl w:val="D4AEC462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B9A721C"/>
    <w:multiLevelType w:val="hybridMultilevel"/>
    <w:tmpl w:val="62F27592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63AA0"/>
    <w:multiLevelType w:val="hybridMultilevel"/>
    <w:tmpl w:val="F7D0770E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6A3252B"/>
    <w:multiLevelType w:val="hybridMultilevel"/>
    <w:tmpl w:val="B7E44ABE"/>
    <w:lvl w:ilvl="0" w:tplc="1116B72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19"/>
  </w:num>
  <w:num w:numId="8">
    <w:abstractNumId w:val="15"/>
  </w:num>
  <w:num w:numId="9">
    <w:abstractNumId w:val="9"/>
  </w:num>
  <w:num w:numId="10">
    <w:abstractNumId w:val="23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22"/>
  </w:num>
  <w:num w:numId="16">
    <w:abstractNumId w:val="36"/>
  </w:num>
  <w:num w:numId="17">
    <w:abstractNumId w:val="36"/>
  </w:num>
  <w:num w:numId="18">
    <w:abstractNumId w:val="24"/>
  </w:num>
  <w:num w:numId="19">
    <w:abstractNumId w:val="31"/>
  </w:num>
  <w:num w:numId="20">
    <w:abstractNumId w:val="21"/>
  </w:num>
  <w:num w:numId="21">
    <w:abstractNumId w:val="14"/>
  </w:num>
  <w:num w:numId="22">
    <w:abstractNumId w:val="8"/>
  </w:num>
  <w:num w:numId="23">
    <w:abstractNumId w:val="13"/>
  </w:num>
  <w:num w:numId="24">
    <w:abstractNumId w:val="38"/>
  </w:num>
  <w:num w:numId="25">
    <w:abstractNumId w:val="26"/>
  </w:num>
  <w:num w:numId="26">
    <w:abstractNumId w:val="20"/>
  </w:num>
  <w:num w:numId="27">
    <w:abstractNumId w:val="11"/>
  </w:num>
  <w:num w:numId="28">
    <w:abstractNumId w:val="4"/>
  </w:num>
  <w:num w:numId="29">
    <w:abstractNumId w:val="17"/>
  </w:num>
  <w:num w:numId="30">
    <w:abstractNumId w:val="1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37"/>
  </w:num>
  <w:num w:numId="35">
    <w:abstractNumId w:val="6"/>
  </w:num>
  <w:num w:numId="36">
    <w:abstractNumId w:val="2"/>
  </w:num>
  <w:num w:numId="37">
    <w:abstractNumId w:val="0"/>
  </w:num>
  <w:num w:numId="38">
    <w:abstractNumId w:val="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8210F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4392A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D5ECF"/>
    <w:rsid w:val="008F4240"/>
    <w:rsid w:val="008F5C1F"/>
    <w:rsid w:val="008F65EB"/>
    <w:rsid w:val="008F733F"/>
    <w:rsid w:val="00907230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4638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6876"/>
    <w:rsid w:val="00CF713D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6EB5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link w:val="af6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5439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link w:val="af6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5439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3A97-78D8-4C63-9218-B1B2559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2023-06-08T07:48:00Z</cp:lastPrinted>
  <dcterms:created xsi:type="dcterms:W3CDTF">2023-09-07T10:16:00Z</dcterms:created>
  <dcterms:modified xsi:type="dcterms:W3CDTF">2023-09-11T12:10:00Z</dcterms:modified>
</cp:coreProperties>
</file>