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решение пятнадцатой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третьего </w:t>
      </w: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емлепользования и застройки муниципального образования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72DD" w:rsidRPr="008372DD" w:rsidRDefault="008372DD" w:rsidP="008372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34 Градостроительного кодекса Российской Федерации,</w:t>
      </w:r>
      <w:r w:rsidR="00F7456D" w:rsidRPr="00F74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640" w:rsidRPr="006C7640">
        <w:rPr>
          <w:rFonts w:ascii="Times New Roman" w:eastAsia="Times New Roman" w:hAnsi="Times New Roman"/>
          <w:sz w:val="28"/>
          <w:szCs w:val="28"/>
          <w:lang w:eastAsia="ru-RU"/>
        </w:rPr>
        <w:t>протоколом публичных слушаний от 17 апреля 2023 года, заключением по результатам публичных слушаний от 19 апреля 2023 года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372DD" w:rsidRP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Pr="008372DD" w:rsidRDefault="008372DD" w:rsidP="006C7640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8372DD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 xml:space="preserve">образования городского округа «Усинск» изменения, </w:t>
      </w:r>
      <w:r w:rsidR="006C7640" w:rsidRPr="006C7640">
        <w:rPr>
          <w:rFonts w:ascii="Times New Roman" w:eastAsia="Arial" w:hAnsi="Times New Roman"/>
          <w:sz w:val="28"/>
          <w:szCs w:val="28"/>
          <w:lang w:eastAsia="ar-SA"/>
        </w:rPr>
        <w:t>дополнив раздел «П.2. Производственная зона»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 xml:space="preserve"> статьи 38 позицией, согласно приложению к настоящему решению.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2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hAnsi="Times New Roman"/>
          <w:sz w:val="28"/>
          <w:szCs w:val="28"/>
        </w:rPr>
        <w:t xml:space="preserve">Республики Коми </w:t>
      </w:r>
      <w:r w:rsidRPr="008372DD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6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372DD" w:rsidRDefault="008372DD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sectPr w:rsidR="008372DD" w:rsidSect="008F4240">
          <w:headerReference w:type="default" r:id="rId9"/>
          <w:pgSz w:w="11906" w:h="16838"/>
          <w:pgMar w:top="680" w:right="737" w:bottom="851" w:left="1418" w:header="426" w:footer="414" w:gutter="0"/>
          <w:cols w:space="708"/>
          <w:titlePg/>
          <w:docGrid w:linePitch="360"/>
        </w:sectPr>
      </w:pPr>
    </w:p>
    <w:p w:rsidR="009442E7" w:rsidRPr="006B245C" w:rsidRDefault="008372DD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8372D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  <w:r w:rsidR="006C764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640" w:rsidRPr="006C7640" w:rsidRDefault="006C7640" w:rsidP="006C7640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6C7640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 xml:space="preserve">П.2. ПРОИЗВОДСТВЕННАЯ ЗОНА </w:t>
      </w:r>
    </w:p>
    <w:p w:rsidR="006C7640" w:rsidRDefault="006C7640" w:rsidP="006C76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C7640" w:rsidRPr="006C7640" w:rsidRDefault="006C7640" w:rsidP="006C76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C7640">
        <w:rPr>
          <w:rFonts w:ascii="Times New Roman" w:hAnsi="Times New Roman"/>
          <w:color w:val="000000"/>
          <w:sz w:val="28"/>
          <w:szCs w:val="28"/>
          <w:lang w:eastAsia="zh-CN"/>
        </w:rPr>
        <w:t>Производственная зона выделена для обеспечения правовых условий формирования предприятий, производств и объектов I-</w:t>
      </w:r>
      <w:r w:rsidRPr="006C7640">
        <w:rPr>
          <w:rFonts w:ascii="Times New Roman" w:hAnsi="Times New Roman"/>
          <w:color w:val="000000"/>
          <w:sz w:val="28"/>
          <w:szCs w:val="28"/>
        </w:rPr>
        <w:t>V</w:t>
      </w:r>
      <w:r w:rsidRPr="006C764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класса </w:t>
      </w:r>
      <w:r w:rsidRPr="006C7640">
        <w:rPr>
          <w:rFonts w:ascii="Times New Roman" w:hAnsi="Times New Roman"/>
          <w:bCs/>
          <w:color w:val="000000"/>
          <w:sz w:val="28"/>
          <w:szCs w:val="28"/>
          <w:lang w:eastAsia="zh-CN"/>
        </w:rPr>
        <w:t>опасности</w:t>
      </w:r>
      <w:r w:rsidRPr="006C7640">
        <w:rPr>
          <w:rFonts w:ascii="Times New Roman" w:hAnsi="Times New Roman"/>
          <w:color w:val="000000"/>
          <w:sz w:val="28"/>
          <w:szCs w:val="28"/>
          <w:lang w:eastAsia="zh-CN"/>
        </w:rPr>
        <w:t>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C7640" w:rsidRPr="006C7640" w:rsidRDefault="006C7640" w:rsidP="006C7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C7640" w:rsidRPr="006C7640" w:rsidRDefault="006C7640" w:rsidP="006C76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C7640">
        <w:rPr>
          <w:rFonts w:ascii="Times New Roman" w:hAnsi="Times New Roman"/>
          <w:color w:val="000000"/>
          <w:sz w:val="28"/>
          <w:szCs w:val="28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6C7640" w:rsidRPr="006C7640" w:rsidRDefault="006C7640" w:rsidP="006C76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402"/>
        <w:gridCol w:w="3119"/>
        <w:gridCol w:w="3969"/>
      </w:tblGrid>
      <w:tr w:rsidR="006C7640" w:rsidRPr="006C7640" w:rsidTr="006C7640">
        <w:trPr>
          <w:trHeight w:val="555"/>
        </w:trPr>
        <w:tc>
          <w:tcPr>
            <w:tcW w:w="2410" w:type="dxa"/>
            <w:vAlign w:val="center"/>
          </w:tcPr>
          <w:p w:rsidR="006C7640" w:rsidRPr="006C7640" w:rsidRDefault="006C7640" w:rsidP="006C7640">
            <w:pPr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6C7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6C7640" w:rsidRPr="006C7640" w:rsidRDefault="006C7640" w:rsidP="006C7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6C7640" w:rsidRPr="006C7640" w:rsidRDefault="006C7640" w:rsidP="006C7640">
            <w:pPr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6C7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3402" w:type="dxa"/>
          </w:tcPr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НАИМЕНОВАНИЕ ОБЪЕКТОВ СТРОИТЕЛЬСТВА (РЕКОНСТРУКЦИИ)  РАЗРЕШЕННОГО ИСПОЛЬЗОВАНИЯ      </w:t>
            </w:r>
          </w:p>
        </w:tc>
        <w:tc>
          <w:tcPr>
            <w:tcW w:w="3119" w:type="dxa"/>
            <w:vAlign w:val="center"/>
          </w:tcPr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3969" w:type="dxa"/>
          </w:tcPr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C7640" w:rsidRPr="006C7640" w:rsidTr="006C7640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40" w:rsidRPr="006C7640" w:rsidRDefault="006C7640" w:rsidP="006C7640">
            <w:pPr>
              <w:autoSpaceDN w:val="0"/>
              <w:adjustRightInd w:val="0"/>
              <w:spacing w:after="160" w:line="259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Строительная промышленность </w:t>
            </w:r>
          </w:p>
          <w:p w:rsidR="006C7640" w:rsidRPr="006C7640" w:rsidRDefault="006C7640" w:rsidP="006C7640">
            <w:pPr>
              <w:autoSpaceDN w:val="0"/>
              <w:adjustRightInd w:val="0"/>
              <w:spacing w:after="160" w:line="259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размещение объектов капитального строительства, предназначенных для производства: </w:t>
            </w: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цех столярной продукции;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общежития, связанные с производством и  необходимостью временного проживания;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столовые для работников </w:t>
            </w: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предприятия;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административно-бытовые комплексы (корпусы);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административные здания, офисы, конторы;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площадки для временного хранения продукции;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гаражи  и мастерские для обслуживания производства;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производственные цеха по виду деятельности предприятия;</w:t>
            </w:r>
          </w:p>
          <w:p w:rsidR="006C7640" w:rsidRPr="006C7640" w:rsidRDefault="006C7640" w:rsidP="006C7640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столярная мастерская;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–500,0 </w:t>
            </w:r>
            <w:proofErr w:type="spell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кв.м</w:t>
            </w:r>
            <w:proofErr w:type="spell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. / 7000 </w:t>
            </w:r>
            <w:proofErr w:type="spell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кв.м</w:t>
            </w:r>
            <w:proofErr w:type="spell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.;</w:t>
            </w:r>
          </w:p>
          <w:p w:rsidR="006C7640" w:rsidRPr="006C7640" w:rsidRDefault="006C7640" w:rsidP="006C7640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500/70000 </w:t>
            </w:r>
            <w:proofErr w:type="spell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кв.м</w:t>
            </w:r>
            <w:proofErr w:type="spell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</w:t>
            </w:r>
            <w:r w:rsidRPr="006C7640">
              <w:rPr>
                <w:sz w:val="26"/>
                <w:szCs w:val="26"/>
              </w:rPr>
              <w:t xml:space="preserve"> («</w:t>
            </w: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для участков, </w:t>
            </w: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сформированных до вступления действующих Правил землепользования и застройки МО ГО «Усинск»»);</w:t>
            </w:r>
          </w:p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минимальный отступ зданий, строений и сооружений от красной линии улиц, проездов – 5 м;</w:t>
            </w:r>
          </w:p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максимальная высота от уровня земли: зданий – 6 м, сооружений – 15 м.</w:t>
            </w:r>
          </w:p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6C7640" w:rsidRPr="006C7640" w:rsidRDefault="006C7640" w:rsidP="006C7640">
            <w:pPr>
              <w:numPr>
                <w:ilvl w:val="0"/>
                <w:numId w:val="46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коэффициент озеленения территории - не менее 15% от площади земельного участка;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0" w:rsidRPr="006C7640" w:rsidRDefault="006C7640" w:rsidP="006C7640">
            <w:pPr>
              <w:numPr>
                <w:ilvl w:val="0"/>
                <w:numId w:val="47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П.2.ПЗ.КЛ. Производственная зона а в сфере действия ограничений прибрежной защитной полосы и санитарно-защитной зоны кладбища (запрещено);</w:t>
            </w:r>
          </w:p>
          <w:p w:rsidR="006C7640" w:rsidRPr="006C7640" w:rsidRDefault="006C7640" w:rsidP="006C7640">
            <w:pPr>
              <w:numPr>
                <w:ilvl w:val="0"/>
                <w:numId w:val="47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П.2.ВО</w:t>
            </w:r>
            <w:proofErr w:type="gram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.К</w:t>
            </w:r>
            <w:proofErr w:type="gram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Л.ВТ. Производственная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6C7640" w:rsidRPr="006C7640" w:rsidRDefault="006C7640" w:rsidP="006C7640">
            <w:pPr>
              <w:numPr>
                <w:ilvl w:val="0"/>
                <w:numId w:val="47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П.2.ПЗ.КЛ</w:t>
            </w:r>
            <w:proofErr w:type="gram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.В</w:t>
            </w:r>
            <w:proofErr w:type="gram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Т. Производственная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  <w:p w:rsidR="006C7640" w:rsidRPr="006C7640" w:rsidRDefault="006C7640" w:rsidP="006C7640">
            <w:pPr>
              <w:numPr>
                <w:ilvl w:val="0"/>
                <w:numId w:val="47"/>
              </w:numPr>
              <w:spacing w:after="0" w:line="240" w:lineRule="auto"/>
              <w:ind w:left="176" w:hanging="219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ЗЗиП</w:t>
            </w:r>
            <w:proofErr w:type="spellEnd"/>
            <w:r w:rsidRPr="006C7640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– зоны затопления и подтопления;</w:t>
            </w:r>
          </w:p>
          <w:p w:rsidR="006C7640" w:rsidRPr="006C7640" w:rsidRDefault="006C7640" w:rsidP="006C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6C7640" w:rsidRPr="006C7640" w:rsidRDefault="006C7640" w:rsidP="006C7640">
      <w:pPr>
        <w:tabs>
          <w:tab w:val="left" w:pos="2520"/>
        </w:tabs>
        <w:spacing w:after="16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6C7640" w:rsidRDefault="006C7640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C7640" w:rsidSect="008372DD">
      <w:pgSz w:w="16838" w:h="11906" w:orient="landscape"/>
      <w:pgMar w:top="1418" w:right="680" w:bottom="737" w:left="85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3C" w:rsidRDefault="00B74C3C" w:rsidP="009703C7">
      <w:pPr>
        <w:spacing w:after="0" w:line="240" w:lineRule="auto"/>
      </w:pPr>
      <w:r>
        <w:separator/>
      </w:r>
    </w:p>
  </w:endnote>
  <w:endnote w:type="continuationSeparator" w:id="0">
    <w:p w:rsidR="00B74C3C" w:rsidRDefault="00B74C3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3C" w:rsidRDefault="00B74C3C" w:rsidP="009703C7">
      <w:pPr>
        <w:spacing w:after="0" w:line="240" w:lineRule="auto"/>
      </w:pPr>
      <w:r>
        <w:separator/>
      </w:r>
    </w:p>
  </w:footnote>
  <w:footnote w:type="continuationSeparator" w:id="0">
    <w:p w:rsidR="00B74C3C" w:rsidRDefault="00B74C3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F1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A745EDE"/>
    <w:multiLevelType w:val="hybridMultilevel"/>
    <w:tmpl w:val="68AAC7E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ACB2BA8"/>
    <w:multiLevelType w:val="hybridMultilevel"/>
    <w:tmpl w:val="1486A5C4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033EBD"/>
    <w:multiLevelType w:val="hybridMultilevel"/>
    <w:tmpl w:val="5984A5E4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6F10B8"/>
    <w:multiLevelType w:val="hybridMultilevel"/>
    <w:tmpl w:val="37F63794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AF5B22"/>
    <w:multiLevelType w:val="hybridMultilevel"/>
    <w:tmpl w:val="E36E8BD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7454D6"/>
    <w:multiLevelType w:val="hybridMultilevel"/>
    <w:tmpl w:val="A8F2E3F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6F27"/>
    <w:multiLevelType w:val="hybridMultilevel"/>
    <w:tmpl w:val="E3D6095E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7"/>
  </w:num>
  <w:num w:numId="4">
    <w:abstractNumId w:val="4"/>
  </w:num>
  <w:num w:numId="5">
    <w:abstractNumId w:val="6"/>
  </w:num>
  <w:num w:numId="6">
    <w:abstractNumId w:val="39"/>
  </w:num>
  <w:num w:numId="7">
    <w:abstractNumId w:val="20"/>
  </w:num>
  <w:num w:numId="8">
    <w:abstractNumId w:val="14"/>
  </w:num>
  <w:num w:numId="9">
    <w:abstractNumId w:val="8"/>
  </w:num>
  <w:num w:numId="10">
    <w:abstractNumId w:val="24"/>
  </w:num>
  <w:num w:numId="11">
    <w:abstractNumId w:val="9"/>
  </w:num>
  <w:num w:numId="12">
    <w:abstractNumId w:val="34"/>
  </w:num>
  <w:num w:numId="13">
    <w:abstractNumId w:val="1"/>
  </w:num>
  <w:num w:numId="14">
    <w:abstractNumId w:val="27"/>
  </w:num>
  <w:num w:numId="15">
    <w:abstractNumId w:val="23"/>
  </w:num>
  <w:num w:numId="16">
    <w:abstractNumId w:val="40"/>
  </w:num>
  <w:num w:numId="17">
    <w:abstractNumId w:val="40"/>
  </w:num>
  <w:num w:numId="18">
    <w:abstractNumId w:val="25"/>
  </w:num>
  <w:num w:numId="19">
    <w:abstractNumId w:val="33"/>
  </w:num>
  <w:num w:numId="20">
    <w:abstractNumId w:val="22"/>
  </w:num>
  <w:num w:numId="21">
    <w:abstractNumId w:val="13"/>
  </w:num>
  <w:num w:numId="22">
    <w:abstractNumId w:val="7"/>
  </w:num>
  <w:num w:numId="23">
    <w:abstractNumId w:val="12"/>
  </w:num>
  <w:num w:numId="24">
    <w:abstractNumId w:val="45"/>
  </w:num>
  <w:num w:numId="25">
    <w:abstractNumId w:val="28"/>
  </w:num>
  <w:num w:numId="26">
    <w:abstractNumId w:val="21"/>
  </w:num>
  <w:num w:numId="27">
    <w:abstractNumId w:val="10"/>
  </w:num>
  <w:num w:numId="28">
    <w:abstractNumId w:val="3"/>
  </w:num>
  <w:num w:numId="29">
    <w:abstractNumId w:val="18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7"/>
  </w:num>
  <w:num w:numId="34">
    <w:abstractNumId w:val="41"/>
  </w:num>
  <w:num w:numId="35">
    <w:abstractNumId w:val="5"/>
  </w:num>
  <w:num w:numId="36">
    <w:abstractNumId w:val="2"/>
  </w:num>
  <w:num w:numId="37">
    <w:abstractNumId w:val="0"/>
  </w:num>
  <w:num w:numId="38">
    <w:abstractNumId w:val="30"/>
  </w:num>
  <w:num w:numId="39">
    <w:abstractNumId w:val="16"/>
  </w:num>
  <w:num w:numId="40">
    <w:abstractNumId w:val="43"/>
  </w:num>
  <w:num w:numId="41">
    <w:abstractNumId w:val="26"/>
  </w:num>
  <w:num w:numId="42">
    <w:abstractNumId w:val="15"/>
  </w:num>
  <w:num w:numId="43">
    <w:abstractNumId w:val="44"/>
  </w:num>
  <w:num w:numId="44">
    <w:abstractNumId w:val="42"/>
  </w:num>
  <w:num w:numId="45">
    <w:abstractNumId w:val="38"/>
  </w:num>
  <w:num w:numId="46">
    <w:abstractNumId w:val="19"/>
  </w:num>
  <w:num w:numId="4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31F1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87D2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C7640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A74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74C3C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C6B7C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6A55"/>
    <w:rsid w:val="00F67A2D"/>
    <w:rsid w:val="00F73ABB"/>
    <w:rsid w:val="00F7456D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FB2D-3FFD-4488-9E25-94CA9BD0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2023-06-09T09:22:00Z</cp:lastPrinted>
  <dcterms:created xsi:type="dcterms:W3CDTF">2023-06-09T09:22:00Z</dcterms:created>
  <dcterms:modified xsi:type="dcterms:W3CDTF">2023-06-13T13:29:00Z</dcterms:modified>
</cp:coreProperties>
</file>