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 в решение пятнадцатой сессии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третьего </w:t>
      </w:r>
    </w:p>
    <w:p w:rsid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от 20 октября 2009 года  № 319  «Об утверждении  Правил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емлепользования и застройки муниципального образования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72DD" w:rsidRPr="008372DD" w:rsidRDefault="008372DD" w:rsidP="008372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33,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34 Градостроительного кодекса Российской Федерации,</w:t>
      </w:r>
      <w:r w:rsidR="00F7456D" w:rsidRPr="00F745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 публичных слушаний от 17 апреля 2023 года, заключением по результатам публичных слушаний от 19 апреля 2023 года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372DD" w:rsidRP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DD" w:rsidRPr="008372DD" w:rsidRDefault="008372DD" w:rsidP="00F7456D">
      <w:pPr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8372DD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8372DD">
        <w:rPr>
          <w:rFonts w:ascii="Times New Roman" w:eastAsia="Arial" w:hAnsi="Times New Roman" w:cs="Arial"/>
          <w:sz w:val="28"/>
          <w:szCs w:val="28"/>
          <w:lang w:eastAsia="ar-SA"/>
        </w:rPr>
        <w:t xml:space="preserve">решение пятнадцатой сессии Совета муниципального образования городского округа «Усинск» от 20 октября 2009 года № 319 «Об утверждении Правил землепользования и застройки муниципального </w:t>
      </w:r>
      <w:r w:rsidRPr="008372DD">
        <w:rPr>
          <w:rFonts w:ascii="Times New Roman" w:eastAsia="Arial" w:hAnsi="Times New Roman"/>
          <w:sz w:val="28"/>
          <w:szCs w:val="28"/>
          <w:lang w:eastAsia="ar-SA"/>
        </w:rPr>
        <w:t xml:space="preserve">образования городского округа «Усинск» изменения, </w:t>
      </w:r>
      <w:r w:rsidR="00F7456D" w:rsidRPr="00F7456D">
        <w:rPr>
          <w:rFonts w:ascii="Times New Roman" w:eastAsia="Arial" w:hAnsi="Times New Roman"/>
          <w:sz w:val="28"/>
          <w:szCs w:val="28"/>
          <w:lang w:eastAsia="ar-SA"/>
        </w:rPr>
        <w:t>дополнив раздел «Ж.1. Зона застройки индивидуальными  жилыми  домами»</w:t>
      </w:r>
      <w:r w:rsidRPr="008372DD">
        <w:rPr>
          <w:rFonts w:ascii="Times New Roman" w:eastAsia="Arial" w:hAnsi="Times New Roman"/>
          <w:sz w:val="28"/>
          <w:szCs w:val="28"/>
          <w:lang w:eastAsia="ar-SA"/>
        </w:rPr>
        <w:t xml:space="preserve"> статьи 38 позицией, согласно приложению к настоящему решению.</w:t>
      </w:r>
    </w:p>
    <w:p w:rsidR="008372DD" w:rsidRPr="008372DD" w:rsidRDefault="008372DD" w:rsidP="008372D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2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2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lastRenderedPageBreak/>
        <w:t xml:space="preserve">Коми </w:t>
      </w:r>
      <w:r w:rsidRPr="008372DD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территории.</w:t>
      </w:r>
    </w:p>
    <w:p w:rsidR="008372DD" w:rsidRPr="008372DD" w:rsidRDefault="008372DD" w:rsidP="008372DD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8372DD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9442E7" w:rsidRDefault="00764A5D" w:rsidP="009442E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72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456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42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372DD" w:rsidRDefault="008372DD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sectPr w:rsidR="008372DD" w:rsidSect="008F4240">
          <w:headerReference w:type="default" r:id="rId9"/>
          <w:pgSz w:w="11906" w:h="16838"/>
          <w:pgMar w:top="680" w:right="737" w:bottom="851" w:left="1418" w:header="426" w:footer="414" w:gutter="0"/>
          <w:cols w:space="708"/>
          <w:titlePg/>
          <w:docGrid w:linePitch="360"/>
        </w:sectPr>
      </w:pPr>
    </w:p>
    <w:p w:rsidR="009442E7" w:rsidRPr="006B245C" w:rsidRDefault="008372DD" w:rsidP="000D6804">
      <w:pPr>
        <w:keepNext/>
        <w:spacing w:after="0" w:line="240" w:lineRule="auto"/>
        <w:ind w:left="9781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ю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9442E7" w:rsidRPr="006B245C" w:rsidRDefault="009442E7" w:rsidP="000D6804">
      <w:pPr>
        <w:keepNext/>
        <w:spacing w:after="0" w:line="240" w:lineRule="auto"/>
        <w:ind w:left="9781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</w:t>
      </w:r>
      <w:r w:rsidR="008372D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  <w:r w:rsidR="00F7456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56D" w:rsidRPr="00F7456D" w:rsidRDefault="00F7456D" w:rsidP="00F7456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F7456D">
        <w:rPr>
          <w:rFonts w:ascii="Times New Roman" w:hAnsi="Times New Roman"/>
          <w:b/>
          <w:sz w:val="28"/>
          <w:szCs w:val="28"/>
        </w:rPr>
        <w:t>Ж.1. ЗОНА ЗАСТРОЙКИ ИНДИВИДУАЛЬНЫМИ  ЖИЛЫМИ  ДОМАМИ</w:t>
      </w:r>
    </w:p>
    <w:p w:rsidR="00F7456D" w:rsidRDefault="00F7456D" w:rsidP="00F7456D">
      <w:pPr>
        <w:tabs>
          <w:tab w:val="left" w:pos="0"/>
        </w:tabs>
        <w:spacing w:after="160" w:line="240" w:lineRule="auto"/>
        <w:ind w:right="282" w:firstLine="567"/>
        <w:rPr>
          <w:rFonts w:ascii="Times New Roman" w:hAnsi="Times New Roman"/>
          <w:iCs/>
          <w:color w:val="000000"/>
          <w:sz w:val="28"/>
          <w:szCs w:val="28"/>
        </w:rPr>
      </w:pPr>
    </w:p>
    <w:p w:rsidR="00F7456D" w:rsidRPr="00F7456D" w:rsidRDefault="00F7456D" w:rsidP="00F7456D">
      <w:pPr>
        <w:tabs>
          <w:tab w:val="left" w:pos="0"/>
        </w:tabs>
        <w:spacing w:after="160" w:line="240" w:lineRule="auto"/>
        <w:ind w:right="282"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F7456D">
        <w:rPr>
          <w:rFonts w:ascii="Times New Roman" w:hAnsi="Times New Roman"/>
          <w:iCs/>
          <w:color w:val="000000"/>
          <w:sz w:val="28"/>
          <w:szCs w:val="28"/>
        </w:rPr>
        <w:t>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участке, с минимально разрешенным набором услуг местного значения.</w:t>
      </w:r>
    </w:p>
    <w:p w:rsidR="00F7456D" w:rsidRPr="00F7456D" w:rsidRDefault="00F7456D" w:rsidP="00F74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7456D">
        <w:rPr>
          <w:rFonts w:ascii="Times New Roman" w:hAnsi="Times New Roman"/>
          <w:color w:val="000000"/>
          <w:sz w:val="28"/>
          <w:szCs w:val="28"/>
          <w:lang w:eastAsia="zh-CN"/>
        </w:rPr>
        <w:t>ВСПОМОГАТЕЛЬНЫЕ ВИДЫ</w:t>
      </w:r>
    </w:p>
    <w:p w:rsidR="00F7456D" w:rsidRPr="00F7456D" w:rsidRDefault="00F7456D" w:rsidP="00F74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456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ПАРАМЕТРЫ РАЗРЕШЕННОГО ИСПОЛЬЗОВАНИЯ ЗЕМЕЛЬНЫХ УЧАСТКОВ И ОБЪЕКТОВ КАПИТАЛЬНОГО СТРОИТЕЛЬСТВА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2551"/>
        <w:gridCol w:w="3544"/>
        <w:gridCol w:w="4111"/>
      </w:tblGrid>
      <w:tr w:rsidR="00F7456D" w:rsidRPr="00F7456D" w:rsidTr="00F7456D">
        <w:trPr>
          <w:trHeight w:val="555"/>
        </w:trPr>
        <w:tc>
          <w:tcPr>
            <w:tcW w:w="2410" w:type="dxa"/>
            <w:vAlign w:val="center"/>
          </w:tcPr>
          <w:p w:rsidR="00F7456D" w:rsidRPr="00F7456D" w:rsidRDefault="00F7456D" w:rsidP="00F7456D">
            <w:pPr>
              <w:autoSpaceDN w:val="0"/>
              <w:adjustRightInd w:val="0"/>
              <w:spacing w:after="16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56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 по классификатору</w:t>
            </w:r>
            <w:r w:rsidRPr="00F745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  <w:p w:rsidR="00F7456D" w:rsidRPr="00F7456D" w:rsidRDefault="00F7456D" w:rsidP="00F7456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F7456D" w:rsidRPr="00F7456D" w:rsidRDefault="00F7456D" w:rsidP="00F745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ОПИСАНИЕ ВИДА РАЗРЕШЕННОГО ИСПОЛЬЗОВАНИЯ ЗЕМЕЛЬНОГО УЧАСТКА</w:t>
            </w:r>
          </w:p>
          <w:p w:rsidR="00F7456D" w:rsidRPr="00F7456D" w:rsidRDefault="00F7456D" w:rsidP="00F7456D">
            <w:pPr>
              <w:autoSpaceDN w:val="0"/>
              <w:adjustRightInd w:val="0"/>
              <w:spacing w:after="16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56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 классификатору</w:t>
            </w:r>
            <w:r w:rsidRPr="00F745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</w:tc>
        <w:tc>
          <w:tcPr>
            <w:tcW w:w="2551" w:type="dxa"/>
          </w:tcPr>
          <w:p w:rsidR="00F7456D" w:rsidRPr="00F7456D" w:rsidRDefault="00F7456D" w:rsidP="00F745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F7456D" w:rsidRPr="00F7456D" w:rsidRDefault="00F7456D" w:rsidP="00F745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НАИМЕНОВАНИЕ ОБЪЕКТОВ СТРОИТЕЛЬСТВА (РЕКОНСТРУКЦИИ)  РАЗРЕШЕННОГО ИСПОЛЬЗОВАНИЯ      </w:t>
            </w:r>
          </w:p>
        </w:tc>
        <w:tc>
          <w:tcPr>
            <w:tcW w:w="3544" w:type="dxa"/>
            <w:vAlign w:val="center"/>
          </w:tcPr>
          <w:p w:rsidR="00F7456D" w:rsidRPr="00F7456D" w:rsidRDefault="00F7456D" w:rsidP="00F745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ПРЕДЕЛЬНЫЕ РАЗМЕРЫ </w:t>
            </w:r>
            <w:proofErr w:type="gramStart"/>
            <w:r w:rsidRPr="00F7456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ЗЕМЕЛЬНОГО</w:t>
            </w:r>
            <w:proofErr w:type="gramEnd"/>
          </w:p>
          <w:p w:rsidR="00F7456D" w:rsidRPr="00F7456D" w:rsidRDefault="00F7456D" w:rsidP="00F745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УЧАСТКА И ПРЕДЕЛЬНЫЕ ПАРАМЕТРЫ РАЗРЕШЕННОГО СТРОИТЕЛЬСТВА</w:t>
            </w:r>
          </w:p>
        </w:tc>
        <w:tc>
          <w:tcPr>
            <w:tcW w:w="4111" w:type="dxa"/>
          </w:tcPr>
          <w:p w:rsidR="00F7456D" w:rsidRPr="00F7456D" w:rsidRDefault="00F7456D" w:rsidP="00F7456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F7456D" w:rsidRPr="00F7456D" w:rsidTr="00F7456D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D" w:rsidRPr="00F7456D" w:rsidRDefault="00F7456D" w:rsidP="00F7456D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</w:rPr>
              <w:t>Религиозное использование</w:t>
            </w:r>
          </w:p>
          <w:p w:rsidR="00F7456D" w:rsidRPr="00F7456D" w:rsidRDefault="00F7456D" w:rsidP="00F7456D">
            <w:pPr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D" w:rsidRPr="00F7456D" w:rsidRDefault="00F7456D" w:rsidP="00F7456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745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отправления </w:t>
            </w:r>
            <w:r w:rsidRPr="00F745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религиозных обрядов (церкви, соборы, храмы, часовни, монастыри, мечети, молельные дома);</w:t>
            </w:r>
            <w:proofErr w:type="gramEnd"/>
          </w:p>
          <w:p w:rsidR="00F7456D" w:rsidRPr="00F7456D" w:rsidRDefault="00F7456D" w:rsidP="00F7456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56D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церкви;</w:t>
            </w:r>
          </w:p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храмы;</w:t>
            </w:r>
          </w:p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часовни;</w:t>
            </w:r>
          </w:p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мечети;</w:t>
            </w:r>
          </w:p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молельные дома;</w:t>
            </w:r>
          </w:p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воскресные школы;</w:t>
            </w:r>
          </w:p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церковно-причтовый дом;</w:t>
            </w:r>
          </w:p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церковная лавка;</w:t>
            </w:r>
          </w:p>
          <w:p w:rsidR="00F7456D" w:rsidRPr="00F7456D" w:rsidRDefault="00F7456D" w:rsidP="00F7456D">
            <w:pPr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звонница;</w:t>
            </w:r>
          </w:p>
          <w:p w:rsidR="00F7456D" w:rsidRPr="00F7456D" w:rsidRDefault="00F7456D" w:rsidP="00F7456D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D" w:rsidRPr="00F7456D" w:rsidRDefault="00F7456D" w:rsidP="00F7456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минимальная /максимальная площадь земельных участков - </w:t>
            </w: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50 м</w:t>
            </w:r>
            <w:proofErr w:type="gramStart"/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proofErr w:type="gramEnd"/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/ 15000 </w:t>
            </w:r>
            <w:proofErr w:type="spellStart"/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кв.м</w:t>
            </w:r>
            <w:proofErr w:type="spellEnd"/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(на 1500 прихожан.);</w:t>
            </w:r>
          </w:p>
          <w:p w:rsidR="00F7456D" w:rsidRPr="00F7456D" w:rsidRDefault="00F7456D" w:rsidP="00F7456D">
            <w:pPr>
              <w:numPr>
                <w:ilvl w:val="0"/>
                <w:numId w:val="4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456D">
                <w:rPr>
                  <w:rFonts w:ascii="Times New Roman" w:hAnsi="Times New Roman"/>
                  <w:color w:val="000000"/>
                  <w:sz w:val="28"/>
                  <w:szCs w:val="28"/>
                  <w:lang w:eastAsia="zh-CN"/>
                </w:rPr>
                <w:t>50 м</w:t>
              </w:r>
            </w:smartTag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F7456D" w:rsidRPr="00F7456D" w:rsidRDefault="00F7456D" w:rsidP="00F7456D">
            <w:pPr>
              <w:numPr>
                <w:ilvl w:val="0"/>
                <w:numId w:val="41"/>
              </w:numPr>
              <w:spacing w:after="0" w:line="240" w:lineRule="auto"/>
              <w:ind w:left="175" w:hanging="218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F7456D" w:rsidRPr="00F7456D" w:rsidRDefault="00F7456D" w:rsidP="00F7456D">
            <w:pPr>
              <w:numPr>
                <w:ilvl w:val="0"/>
                <w:numId w:val="41"/>
              </w:numPr>
              <w:spacing w:after="0" w:line="240" w:lineRule="auto"/>
              <w:ind w:left="175" w:hanging="218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минимальный отступ от границы земельного участка – 3 м;</w:t>
            </w:r>
          </w:p>
          <w:p w:rsidR="00F7456D" w:rsidRPr="00F7456D" w:rsidRDefault="00F7456D" w:rsidP="00F7456D">
            <w:pPr>
              <w:numPr>
                <w:ilvl w:val="0"/>
                <w:numId w:val="4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максимальный процент застройки в границах земельного участка – 70%;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D" w:rsidRPr="00F7456D" w:rsidRDefault="00F7456D" w:rsidP="00F7456D">
            <w:pPr>
              <w:numPr>
                <w:ilvl w:val="0"/>
                <w:numId w:val="42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lastRenderedPageBreak/>
              <w:t>Ж.1.ЗВ</w:t>
            </w: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Зона застройки малоэтажными жилыми домами 1-4 этажа в сфере </w:t>
            </w:r>
            <w:proofErr w:type="gramStart"/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действия ограничений зоны санитарной охраны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источников водоснабжения</w:t>
            </w:r>
            <w:proofErr w:type="gramEnd"/>
            <w:r w:rsidRPr="00F74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F7456D" w:rsidRPr="00F7456D" w:rsidRDefault="00F7456D" w:rsidP="00F7456D">
            <w:pPr>
              <w:numPr>
                <w:ilvl w:val="0"/>
                <w:numId w:val="42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F7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Ж.1.ВО. </w:t>
            </w:r>
            <w:r w:rsidRPr="00F7456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Зона застройки малоэтажными жилыми домами 1-4 этажа </w:t>
            </w:r>
            <w:r w:rsidRPr="00F7456D">
              <w:rPr>
                <w:rFonts w:ascii="Times New Roman" w:hAnsi="Times New Roman"/>
                <w:color w:val="000000"/>
                <w:sz w:val="28"/>
                <w:szCs w:val="28"/>
              </w:rPr>
              <w:t>в сфере действия ограничений водоохраной зоны;</w:t>
            </w:r>
          </w:p>
          <w:p w:rsidR="00F7456D" w:rsidRPr="00F7456D" w:rsidRDefault="00F7456D" w:rsidP="00F7456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7456D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ЗЗиП</w:t>
            </w:r>
            <w:proofErr w:type="spellEnd"/>
            <w:r w:rsidRPr="00F7456D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– </w:t>
            </w:r>
            <w:r w:rsidRPr="00F7456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зоны затопления и подтопления;</w:t>
            </w:r>
          </w:p>
        </w:tc>
      </w:tr>
    </w:tbl>
    <w:p w:rsidR="001B25EC" w:rsidRDefault="001B25EC" w:rsidP="00F745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25EC" w:rsidSect="008372DD">
      <w:pgSz w:w="16838" w:h="11906" w:orient="landscape"/>
      <w:pgMar w:top="1418" w:right="680" w:bottom="737" w:left="851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65" w:rsidRDefault="009E6D65" w:rsidP="009703C7">
      <w:pPr>
        <w:spacing w:after="0" w:line="240" w:lineRule="auto"/>
      </w:pPr>
      <w:r>
        <w:separator/>
      </w:r>
    </w:p>
  </w:endnote>
  <w:endnote w:type="continuationSeparator" w:id="0">
    <w:p w:rsidR="009E6D65" w:rsidRDefault="009E6D6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65" w:rsidRDefault="009E6D65" w:rsidP="009703C7">
      <w:pPr>
        <w:spacing w:after="0" w:line="240" w:lineRule="auto"/>
      </w:pPr>
      <w:r>
        <w:separator/>
      </w:r>
    </w:p>
  </w:footnote>
  <w:footnote w:type="continuationSeparator" w:id="0">
    <w:p w:rsidR="009E6D65" w:rsidRDefault="009E6D6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7F">
          <w:rPr>
            <w:noProof/>
          </w:rPr>
          <w:t>4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A745EDE"/>
    <w:multiLevelType w:val="hybridMultilevel"/>
    <w:tmpl w:val="68AAC7EC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31F84"/>
    <w:multiLevelType w:val="hybridMultilevel"/>
    <w:tmpl w:val="BAD2A63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D033EBD"/>
    <w:multiLevelType w:val="hybridMultilevel"/>
    <w:tmpl w:val="5984A5E4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036F27"/>
    <w:multiLevelType w:val="hybridMultilevel"/>
    <w:tmpl w:val="E3D6095E"/>
    <w:lvl w:ilvl="0" w:tplc="1116B72A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7"/>
  </w:num>
  <w:num w:numId="4">
    <w:abstractNumId w:val="4"/>
  </w:num>
  <w:num w:numId="5">
    <w:abstractNumId w:val="6"/>
  </w:num>
  <w:num w:numId="6">
    <w:abstractNumId w:val="36"/>
  </w:num>
  <w:num w:numId="7">
    <w:abstractNumId w:val="19"/>
  </w:num>
  <w:num w:numId="8">
    <w:abstractNumId w:val="14"/>
  </w:num>
  <w:num w:numId="9">
    <w:abstractNumId w:val="8"/>
  </w:num>
  <w:num w:numId="10">
    <w:abstractNumId w:val="23"/>
  </w:num>
  <w:num w:numId="11">
    <w:abstractNumId w:val="9"/>
  </w:num>
  <w:num w:numId="12">
    <w:abstractNumId w:val="33"/>
  </w:num>
  <w:num w:numId="13">
    <w:abstractNumId w:val="1"/>
  </w:num>
  <w:num w:numId="14">
    <w:abstractNumId w:val="26"/>
  </w:num>
  <w:num w:numId="15">
    <w:abstractNumId w:val="22"/>
  </w:num>
  <w:num w:numId="16">
    <w:abstractNumId w:val="37"/>
  </w:num>
  <w:num w:numId="17">
    <w:abstractNumId w:val="37"/>
  </w:num>
  <w:num w:numId="18">
    <w:abstractNumId w:val="24"/>
  </w:num>
  <w:num w:numId="19">
    <w:abstractNumId w:val="32"/>
  </w:num>
  <w:num w:numId="20">
    <w:abstractNumId w:val="21"/>
  </w:num>
  <w:num w:numId="21">
    <w:abstractNumId w:val="13"/>
  </w:num>
  <w:num w:numId="22">
    <w:abstractNumId w:val="7"/>
  </w:num>
  <w:num w:numId="23">
    <w:abstractNumId w:val="12"/>
  </w:num>
  <w:num w:numId="24">
    <w:abstractNumId w:val="40"/>
  </w:num>
  <w:num w:numId="25">
    <w:abstractNumId w:val="27"/>
  </w:num>
  <w:num w:numId="26">
    <w:abstractNumId w:val="20"/>
  </w:num>
  <w:num w:numId="27">
    <w:abstractNumId w:val="10"/>
  </w:num>
  <w:num w:numId="28">
    <w:abstractNumId w:val="3"/>
  </w:num>
  <w:num w:numId="29">
    <w:abstractNumId w:val="18"/>
  </w:num>
  <w:num w:numId="30">
    <w:abstractNumId w:val="1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5"/>
  </w:num>
  <w:num w:numId="34">
    <w:abstractNumId w:val="38"/>
  </w:num>
  <w:num w:numId="35">
    <w:abstractNumId w:val="5"/>
  </w:num>
  <w:num w:numId="36">
    <w:abstractNumId w:val="2"/>
  </w:num>
  <w:num w:numId="37">
    <w:abstractNumId w:val="0"/>
  </w:num>
  <w:num w:numId="38">
    <w:abstractNumId w:val="29"/>
  </w:num>
  <w:num w:numId="39">
    <w:abstractNumId w:val="16"/>
  </w:num>
  <w:num w:numId="40">
    <w:abstractNumId w:val="39"/>
  </w:num>
  <w:num w:numId="41">
    <w:abstractNumId w:val="25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E6D65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C6B7C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C4D7F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6A1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6A55"/>
    <w:rsid w:val="00F67A2D"/>
    <w:rsid w:val="00F73ABB"/>
    <w:rsid w:val="00F7456D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D5BB-7D75-45A1-B617-6491CB39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2023-06-09T09:14:00Z</cp:lastPrinted>
  <dcterms:created xsi:type="dcterms:W3CDTF">2023-06-09T09:15:00Z</dcterms:created>
  <dcterms:modified xsi:type="dcterms:W3CDTF">2023-06-13T13:29:00Z</dcterms:modified>
</cp:coreProperties>
</file>