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 в решение пятнадцатой сессии Совета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городского округа «Усинск» третьего </w:t>
      </w:r>
    </w:p>
    <w:p w:rsid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созыва от 20 октября 2009 года  № 319  «Об утверждении  Правил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емлепользования и застройки муниципального образования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372DD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«Усинск»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B7CB0" w:rsidRPr="006B7CB0" w:rsidRDefault="006B7CB0" w:rsidP="006B7CB0">
      <w:pPr>
        <w:tabs>
          <w:tab w:val="left" w:pos="9751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72DD" w:rsidRPr="008372DD" w:rsidRDefault="008372DD" w:rsidP="008372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33,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 xml:space="preserve">34 Градостроительного кодекса Российской Федерации, протоколом публичных слушаний от 28 апреля 2023 года, заключением по результатам публичных слушаний от 03 мая 2023 года, руководствуясь статьями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9, 33</w:t>
      </w: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>, Совет муниципального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</w:p>
    <w:p w:rsidR="008372DD" w:rsidRDefault="008372DD" w:rsidP="008372D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2DD" w:rsidRDefault="008372DD" w:rsidP="008372D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372D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8372DD" w:rsidRPr="008372DD" w:rsidRDefault="008372DD" w:rsidP="008372D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2DD" w:rsidRPr="008372DD" w:rsidRDefault="008372DD" w:rsidP="008372DD">
      <w:pPr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8372DD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Внести в </w:t>
      </w:r>
      <w:r w:rsidRPr="008372DD">
        <w:rPr>
          <w:rFonts w:ascii="Times New Roman" w:eastAsia="Arial" w:hAnsi="Times New Roman" w:cs="Arial"/>
          <w:sz w:val="28"/>
          <w:szCs w:val="28"/>
          <w:lang w:eastAsia="ar-SA"/>
        </w:rPr>
        <w:t xml:space="preserve">решение пятнадцатой сессии Совета муниципального образования городского округа «Усинск» от 20 октября 2009 года № 319 «Об утверждении Правил землепользования и застройки муниципального </w:t>
      </w:r>
      <w:r w:rsidRPr="008372DD">
        <w:rPr>
          <w:rFonts w:ascii="Times New Roman" w:eastAsia="Arial" w:hAnsi="Times New Roman"/>
          <w:sz w:val="28"/>
          <w:szCs w:val="28"/>
          <w:lang w:eastAsia="ar-SA"/>
        </w:rPr>
        <w:t>образования городского округа «Усинск» изменения, дополнив раздел «ЗД. Зона объектов здравоохранения» статьи 38 позицией, согласно приложению к настоящему решению.</w:t>
      </w:r>
    </w:p>
    <w:p w:rsidR="008372DD" w:rsidRPr="008372DD" w:rsidRDefault="008372DD" w:rsidP="008372DD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2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72D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 округа «Усинск»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lastRenderedPageBreak/>
        <w:t xml:space="preserve">Коми </w:t>
      </w:r>
      <w:r w:rsidRPr="008372DD">
        <w:rPr>
          <w:rFonts w:ascii="Times New Roman" w:hAnsi="Times New Roman"/>
          <w:sz w:val="28"/>
          <w:szCs w:val="28"/>
        </w:rPr>
        <w:t>по вопросам бюджета, муниципальному имуществу и развитию территории.</w:t>
      </w:r>
    </w:p>
    <w:p w:rsidR="008372DD" w:rsidRPr="008372DD" w:rsidRDefault="008372DD" w:rsidP="008372DD">
      <w:pPr>
        <w:numPr>
          <w:ilvl w:val="0"/>
          <w:numId w:val="16"/>
        </w:numPr>
        <w:tabs>
          <w:tab w:val="left" w:pos="1134"/>
        </w:tabs>
        <w:suppressAutoHyphens/>
        <w:autoSpaceDE w:val="0"/>
        <w:spacing w:after="0" w:line="360" w:lineRule="auto"/>
        <w:ind w:left="0" w:right="-185" w:firstLine="709"/>
        <w:jc w:val="both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8372DD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официального опубликования (обнародования).</w:t>
      </w:r>
    </w:p>
    <w:p w:rsidR="005371FC" w:rsidRPr="005D4558" w:rsidRDefault="005371FC" w:rsidP="006B7CB0">
      <w:pPr>
        <w:spacing w:after="0" w:line="312" w:lineRule="auto"/>
        <w:ind w:right="-3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1257" w:rsidRDefault="00081257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02367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9442E7" w:rsidRDefault="00764A5D" w:rsidP="009442E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372D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9442E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372DD" w:rsidRDefault="008372DD" w:rsidP="009442E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sectPr w:rsidR="008372DD" w:rsidSect="008F4240">
          <w:headerReference w:type="default" r:id="rId9"/>
          <w:pgSz w:w="11906" w:h="16838"/>
          <w:pgMar w:top="680" w:right="737" w:bottom="851" w:left="1418" w:header="426" w:footer="414" w:gutter="0"/>
          <w:cols w:space="708"/>
          <w:titlePg/>
          <w:docGrid w:linePitch="360"/>
        </w:sectPr>
      </w:pPr>
    </w:p>
    <w:p w:rsidR="009442E7" w:rsidRPr="006B245C" w:rsidRDefault="008372DD" w:rsidP="000D6804">
      <w:pPr>
        <w:keepNext/>
        <w:spacing w:after="0" w:line="240" w:lineRule="auto"/>
        <w:ind w:left="9781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r w:rsidR="009442E7"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ю</w:t>
      </w:r>
      <w:r w:rsidR="009442E7"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r w:rsidR="009442E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шестнадцатой</w:t>
      </w:r>
      <w:r w:rsidR="009442E7"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 w:rsidR="009442E7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муниципального </w:t>
      </w:r>
      <w:r w:rsidR="009442E7"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округа «Усинск»</w:t>
      </w:r>
      <w:r w:rsidR="009442E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 шестого</w:t>
      </w:r>
      <w:r w:rsidR="009442E7"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9442E7" w:rsidRPr="006B245C" w:rsidRDefault="009442E7" w:rsidP="000D6804">
      <w:pPr>
        <w:keepNext/>
        <w:spacing w:after="0" w:line="240" w:lineRule="auto"/>
        <w:ind w:left="9781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07 июня 2023 года № 4</w:t>
      </w:r>
      <w:r w:rsidR="008372D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24</w:t>
      </w:r>
    </w:p>
    <w:p w:rsidR="009442E7" w:rsidRDefault="009442E7" w:rsidP="009442E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Pr="009442E7" w:rsidRDefault="009442E7" w:rsidP="009442E7">
      <w:pPr>
        <w:spacing w:after="0" w:line="312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D6804" w:rsidRPr="000D6804" w:rsidRDefault="000D6804" w:rsidP="000D680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  <w:r w:rsidRPr="000D6804"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  <w:t>ЗД. ЗОНА ОБЪЕКТОВ ЗДРАВООХРАНЕНИЯ</w:t>
      </w:r>
    </w:p>
    <w:p w:rsidR="000D6804" w:rsidRPr="000D6804" w:rsidRDefault="000D6804" w:rsidP="000D680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0D6804" w:rsidRPr="000D6804" w:rsidRDefault="000D6804" w:rsidP="000D68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6804">
        <w:rPr>
          <w:rFonts w:ascii="Times New Roman" w:hAnsi="Times New Roman"/>
          <w:sz w:val="24"/>
          <w:szCs w:val="24"/>
        </w:rPr>
        <w:t>Зона объектов здравоохранения выделена для обеспечения правовых условий формирования территорий, на которых осуществляется деятельность объектов медицинского назначения.</w:t>
      </w:r>
    </w:p>
    <w:p w:rsidR="000D6804" w:rsidRPr="000D6804" w:rsidRDefault="000D6804" w:rsidP="000D68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6804" w:rsidRPr="000D6804" w:rsidRDefault="000D6804" w:rsidP="000D68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D6804">
        <w:rPr>
          <w:rFonts w:ascii="Times New Roman" w:hAnsi="Times New Roman"/>
          <w:color w:val="000000"/>
          <w:sz w:val="28"/>
          <w:szCs w:val="28"/>
          <w:lang w:eastAsia="zh-CN"/>
        </w:rPr>
        <w:t>ОСНОВНЫЕ  РАЗРЕШЕННЫЕ ВИДЫ И ПАРАМЕТРЫ ИСПОЛЬЗОВАНИЯ</w:t>
      </w:r>
    </w:p>
    <w:p w:rsidR="000D6804" w:rsidRPr="000D6804" w:rsidRDefault="000D6804" w:rsidP="000D6804">
      <w:pPr>
        <w:spacing w:after="16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D6804">
        <w:rPr>
          <w:rFonts w:ascii="Times New Roman" w:hAnsi="Times New Roman"/>
          <w:color w:val="000000"/>
          <w:sz w:val="28"/>
          <w:szCs w:val="28"/>
          <w:lang w:eastAsia="zh-CN"/>
        </w:rPr>
        <w:t>ЗЕМЕЛЬНЫХ УЧАСТКОВ И ОБЪЕКТОВ КАПИТАЛЬНОГО СТРОИТЕЛЬСТВА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93"/>
        <w:gridCol w:w="2977"/>
        <w:gridCol w:w="3260"/>
        <w:gridCol w:w="4252"/>
      </w:tblGrid>
      <w:tr w:rsidR="000D6804" w:rsidRPr="000D6804" w:rsidTr="000D6804">
        <w:trPr>
          <w:trHeight w:val="555"/>
        </w:trPr>
        <w:tc>
          <w:tcPr>
            <w:tcW w:w="2269" w:type="dxa"/>
            <w:vAlign w:val="center"/>
          </w:tcPr>
          <w:p w:rsidR="000D6804" w:rsidRPr="000D6804" w:rsidRDefault="000D6804" w:rsidP="000D6804">
            <w:pPr>
              <w:autoSpaceDN w:val="0"/>
              <w:adjustRightInd w:val="0"/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ВИДЫ ИСПОЛЬЗОВАНИЯ по классификатору</w:t>
            </w:r>
            <w:r w:rsidRPr="000D6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 Минэкономразвития России от 01.09.2014 № 540)</w:t>
            </w:r>
          </w:p>
          <w:p w:rsidR="000D6804" w:rsidRPr="000D6804" w:rsidRDefault="000D6804" w:rsidP="000D6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0D6804" w:rsidRPr="000D6804" w:rsidRDefault="000D6804" w:rsidP="000D6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ОПИСАНИЕ ВИДА РАЗРЕШЕННОГО ИСПОЛЬЗОВАНИЯ ЗЕМЕЛЬНОГО УЧАСТКА</w:t>
            </w:r>
          </w:p>
          <w:p w:rsidR="000D6804" w:rsidRPr="000D6804" w:rsidRDefault="000D6804" w:rsidP="000D6804">
            <w:pPr>
              <w:autoSpaceDN w:val="0"/>
              <w:adjustRightInd w:val="0"/>
              <w:spacing w:after="16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 классификатору</w:t>
            </w:r>
            <w:r w:rsidRPr="000D6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 Минэкономразвития России от 01.09.2014 № 540)</w:t>
            </w:r>
          </w:p>
        </w:tc>
        <w:tc>
          <w:tcPr>
            <w:tcW w:w="2977" w:type="dxa"/>
          </w:tcPr>
          <w:p w:rsidR="000D6804" w:rsidRPr="000D6804" w:rsidRDefault="000D6804" w:rsidP="000D6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D6804" w:rsidRPr="000D6804" w:rsidRDefault="000D6804" w:rsidP="000D6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НАИМЕНОВАНИЕ ОБЪЕКТОВ СТРОИТЕЛЬСТВА (РЕКОНСТРУКЦИИ)  РАЗРЕШЕННОГО ИСПОЛЬЗОВАНИЯ      </w:t>
            </w:r>
          </w:p>
        </w:tc>
        <w:tc>
          <w:tcPr>
            <w:tcW w:w="3260" w:type="dxa"/>
            <w:vAlign w:val="center"/>
          </w:tcPr>
          <w:p w:rsidR="000D6804" w:rsidRPr="000D6804" w:rsidRDefault="000D6804" w:rsidP="000D6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ПРЕДЕЛЬНЫЕ РАЗМЕРЫ </w:t>
            </w:r>
            <w:proofErr w:type="gramStart"/>
            <w:r w:rsidRPr="000D680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ЗЕМЕЛЬНОГО</w:t>
            </w:r>
            <w:proofErr w:type="gramEnd"/>
          </w:p>
          <w:p w:rsidR="000D6804" w:rsidRPr="000D6804" w:rsidRDefault="000D6804" w:rsidP="000D6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УЧАСТКА И ПРЕДЕЛЬНЫЕ ПАРАМЕТРЫ РАЗРЕШЕННОГО СТРОИТЕЛЬСТВА</w:t>
            </w:r>
          </w:p>
        </w:tc>
        <w:tc>
          <w:tcPr>
            <w:tcW w:w="4252" w:type="dxa"/>
          </w:tcPr>
          <w:p w:rsidR="000D6804" w:rsidRPr="000D6804" w:rsidRDefault="000D6804" w:rsidP="000D6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0D6804" w:rsidRPr="000D6804" w:rsidTr="000D6804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04" w:rsidRPr="000D6804" w:rsidRDefault="000D6804" w:rsidP="000D6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обслуживание (</w:t>
            </w:r>
            <w:r w:rsidRPr="000D68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объектов здравоохранения</w:t>
            </w:r>
            <w:r w:rsidRPr="000D680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04" w:rsidRPr="000D6804" w:rsidRDefault="000D6804" w:rsidP="000D6804">
            <w:pPr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6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</w:t>
            </w:r>
            <w:r w:rsidRPr="000D68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D6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04" w:rsidRPr="000D6804" w:rsidRDefault="000D6804" w:rsidP="000D6804">
            <w:pPr>
              <w:pStyle w:val="a3"/>
              <w:numPr>
                <w:ilvl w:val="0"/>
                <w:numId w:val="35"/>
              </w:numPr>
              <w:tabs>
                <w:tab w:val="left" w:pos="187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котельные;</w:t>
            </w:r>
          </w:p>
          <w:p w:rsidR="000D6804" w:rsidRPr="000D6804" w:rsidRDefault="000D6804" w:rsidP="000D6804">
            <w:pPr>
              <w:numPr>
                <w:ilvl w:val="0"/>
                <w:numId w:val="35"/>
              </w:numPr>
              <w:tabs>
                <w:tab w:val="left" w:pos="187"/>
              </w:tabs>
              <w:spacing w:after="0" w:line="240" w:lineRule="auto"/>
              <w:ind w:left="34" w:right="-1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очистные сооружения; </w:t>
            </w:r>
          </w:p>
          <w:p w:rsidR="000D6804" w:rsidRPr="000D6804" w:rsidRDefault="000D6804" w:rsidP="000D6804">
            <w:pPr>
              <w:numPr>
                <w:ilvl w:val="0"/>
                <w:numId w:val="35"/>
              </w:numPr>
              <w:tabs>
                <w:tab w:val="left" w:pos="187"/>
              </w:tabs>
              <w:spacing w:after="0" w:line="240" w:lineRule="auto"/>
              <w:ind w:left="34" w:right="-1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</w:rPr>
              <w:t>насосные станции;</w:t>
            </w:r>
          </w:p>
          <w:p w:rsidR="000D6804" w:rsidRPr="000D6804" w:rsidRDefault="000D6804" w:rsidP="000D6804">
            <w:pPr>
              <w:numPr>
                <w:ilvl w:val="0"/>
                <w:numId w:val="35"/>
              </w:numPr>
              <w:tabs>
                <w:tab w:val="left" w:pos="187"/>
              </w:tabs>
              <w:spacing w:after="0" w:line="240" w:lineRule="auto"/>
              <w:ind w:left="34" w:right="-1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водопроводы;</w:t>
            </w:r>
          </w:p>
          <w:p w:rsidR="000D6804" w:rsidRPr="000D6804" w:rsidRDefault="000D6804" w:rsidP="000D6804">
            <w:pPr>
              <w:numPr>
                <w:ilvl w:val="0"/>
                <w:numId w:val="35"/>
              </w:numPr>
              <w:tabs>
                <w:tab w:val="left" w:pos="187"/>
              </w:tabs>
              <w:spacing w:after="0" w:line="240" w:lineRule="auto"/>
              <w:ind w:left="34" w:right="-1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линий электропередач;</w:t>
            </w:r>
          </w:p>
          <w:p w:rsidR="000D6804" w:rsidRPr="000D6804" w:rsidRDefault="000D6804" w:rsidP="000D6804">
            <w:pPr>
              <w:numPr>
                <w:ilvl w:val="0"/>
                <w:numId w:val="35"/>
              </w:numPr>
              <w:tabs>
                <w:tab w:val="left" w:pos="187"/>
              </w:tabs>
              <w:spacing w:after="0" w:line="240" w:lineRule="auto"/>
              <w:ind w:left="34" w:right="-1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трансформаторные подстанции;</w:t>
            </w:r>
          </w:p>
          <w:p w:rsidR="000D6804" w:rsidRPr="000D6804" w:rsidRDefault="000D6804" w:rsidP="000D6804">
            <w:pPr>
              <w:numPr>
                <w:ilvl w:val="0"/>
                <w:numId w:val="35"/>
              </w:numPr>
              <w:tabs>
                <w:tab w:val="left" w:pos="187"/>
              </w:tabs>
              <w:spacing w:after="0" w:line="240" w:lineRule="auto"/>
              <w:ind w:left="34" w:right="-1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</w:rPr>
              <w:t>газопроводы;</w:t>
            </w:r>
          </w:p>
          <w:p w:rsidR="000D6804" w:rsidRPr="000D6804" w:rsidRDefault="000D6804" w:rsidP="000D6804">
            <w:pPr>
              <w:numPr>
                <w:ilvl w:val="0"/>
                <w:numId w:val="35"/>
              </w:numPr>
              <w:tabs>
                <w:tab w:val="left" w:pos="187"/>
              </w:tabs>
              <w:spacing w:after="0" w:line="240" w:lineRule="auto"/>
              <w:ind w:left="34" w:right="-1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канализации;</w:t>
            </w:r>
          </w:p>
          <w:p w:rsidR="000D6804" w:rsidRPr="000D6804" w:rsidRDefault="000D6804" w:rsidP="000D6804">
            <w:pPr>
              <w:numPr>
                <w:ilvl w:val="0"/>
                <w:numId w:val="35"/>
              </w:numPr>
              <w:tabs>
                <w:tab w:val="left" w:pos="187"/>
              </w:tabs>
              <w:spacing w:after="0" w:line="240" w:lineRule="auto"/>
              <w:ind w:left="34" w:right="-1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стоянки, гаражи и мастерские для обслуживания уборочной и аварийной техники;</w:t>
            </w:r>
          </w:p>
          <w:p w:rsidR="000D6804" w:rsidRPr="000D6804" w:rsidRDefault="000D6804" w:rsidP="000D6804">
            <w:pPr>
              <w:spacing w:after="0" w:line="240" w:lineRule="auto"/>
              <w:ind w:left="284" w:right="-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04" w:rsidRPr="000D6804" w:rsidRDefault="000D6804" w:rsidP="000D6804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175" w:right="-16" w:hanging="76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минимальная/максимальная  площадь земельных участков - 50 кв. м/ не подлежит ограничению;</w:t>
            </w:r>
          </w:p>
          <w:p w:rsidR="000D6804" w:rsidRPr="000D6804" w:rsidRDefault="000D6804" w:rsidP="000D6804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175" w:right="-16" w:hanging="76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минимальный отступ от границ участка - 1 м;</w:t>
            </w:r>
          </w:p>
          <w:p w:rsidR="000D6804" w:rsidRPr="000D6804" w:rsidRDefault="000D6804" w:rsidP="000D6804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175" w:right="-16" w:hanging="76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ширина земельного участка – не </w:t>
            </w:r>
            <w:r w:rsidRPr="000D680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подлежит ограничению;</w:t>
            </w:r>
          </w:p>
          <w:p w:rsidR="000D6804" w:rsidRPr="000D6804" w:rsidRDefault="000D6804" w:rsidP="000D6804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175" w:right="-16" w:hanging="76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максимальная высота зданий, строений, сооружений от уровня земли - 50 м;</w:t>
            </w:r>
          </w:p>
          <w:p w:rsidR="000D6804" w:rsidRPr="000D6804" w:rsidRDefault="000D6804" w:rsidP="000D6804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175" w:right="-16" w:hanging="76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D680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80%;</w:t>
            </w:r>
          </w:p>
          <w:p w:rsidR="000D6804" w:rsidRPr="000D6804" w:rsidRDefault="000D6804" w:rsidP="000D6804">
            <w:pPr>
              <w:spacing w:after="0" w:line="240" w:lineRule="auto"/>
              <w:ind w:left="459" w:hanging="425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04" w:rsidRPr="000D6804" w:rsidRDefault="000D6804" w:rsidP="000D6804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pacing w:after="0" w:line="240" w:lineRule="auto"/>
              <w:ind w:left="317" w:hanging="218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0D6804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ЗД.ВО.</w:t>
            </w:r>
            <w:r w:rsidRPr="000D680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D680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ab/>
              <w:t>Зона объектов здравоохранения в сфере действия ограничений водоохраной зоны</w:t>
            </w:r>
            <w:proofErr w:type="gramStart"/>
            <w:r w:rsidRPr="000D680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  <w:p w:rsidR="000D6804" w:rsidRPr="000D6804" w:rsidRDefault="000D6804" w:rsidP="000D6804">
            <w:pPr>
              <w:widowControl w:val="0"/>
              <w:numPr>
                <w:ilvl w:val="0"/>
                <w:numId w:val="37"/>
              </w:numPr>
              <w:tabs>
                <w:tab w:val="left" w:pos="1258"/>
              </w:tabs>
              <w:suppressAutoHyphens/>
              <w:autoSpaceDE w:val="0"/>
              <w:spacing w:after="0" w:line="240" w:lineRule="auto"/>
              <w:ind w:left="317" w:hanging="218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0D6804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ЗД.ПЗ.</w:t>
            </w:r>
            <w:r w:rsidRPr="000D680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D680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ab/>
              <w:t>Зона объектов здравоохранения в сфере действия ограничений прибрежной защитной полосы;</w:t>
            </w:r>
          </w:p>
          <w:p w:rsidR="000D6804" w:rsidRPr="000D6804" w:rsidRDefault="000D6804" w:rsidP="000D6804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pacing w:after="0" w:line="240" w:lineRule="auto"/>
              <w:ind w:left="317" w:hanging="218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0D6804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ЗД.ЗВ.</w:t>
            </w:r>
            <w:r w:rsidRPr="000D680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 Зона объектов </w:t>
            </w:r>
            <w:r w:rsidRPr="000D680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lastRenderedPageBreak/>
              <w:t>здравоохранения в сфере действия ограничений зоны санитарной охраны источников водоснабжения;</w:t>
            </w:r>
          </w:p>
          <w:p w:rsidR="000D6804" w:rsidRPr="000D6804" w:rsidRDefault="000D6804" w:rsidP="000D6804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pacing w:after="0" w:line="240" w:lineRule="auto"/>
              <w:ind w:left="317" w:hanging="218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0D6804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ЗД.ВО</w:t>
            </w:r>
            <w:proofErr w:type="gramStart"/>
            <w:r w:rsidRPr="000D6804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.В</w:t>
            </w:r>
            <w:proofErr w:type="gramEnd"/>
            <w:r w:rsidRPr="000D6804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Т</w:t>
            </w:r>
            <w:r w:rsidRPr="000D680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 Зона объектов здравоохранения в сфере действия ограничений водоохраной  зоны и санитарно-защитной зоны воздушного транспорта;</w:t>
            </w:r>
          </w:p>
          <w:p w:rsidR="000D6804" w:rsidRPr="000D6804" w:rsidRDefault="000D6804" w:rsidP="000D6804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pacing w:after="0" w:line="240" w:lineRule="auto"/>
              <w:ind w:left="317" w:hanging="218"/>
              <w:rPr>
                <w:rFonts w:ascii="Times New Roman" w:eastAsia="Arial" w:hAnsi="Times New Roman"/>
                <w:color w:val="000000"/>
                <w:sz w:val="24"/>
                <w:szCs w:val="20"/>
                <w:lang w:eastAsia="ar-SA"/>
              </w:rPr>
            </w:pPr>
            <w:proofErr w:type="spellStart"/>
            <w:r w:rsidRPr="000D6804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ЗЗиП</w:t>
            </w:r>
            <w:proofErr w:type="spellEnd"/>
            <w:r w:rsidRPr="000D6804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  <w:r w:rsidRPr="000D680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 Зона затопления и подтопления.</w:t>
            </w:r>
          </w:p>
        </w:tc>
      </w:tr>
    </w:tbl>
    <w:p w:rsidR="001B25EC" w:rsidRDefault="001B25EC" w:rsidP="00682F8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25EC" w:rsidSect="008372DD">
      <w:pgSz w:w="16838" w:h="11906" w:orient="landscape"/>
      <w:pgMar w:top="1418" w:right="680" w:bottom="737" w:left="851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25" w:rsidRDefault="00B14025" w:rsidP="009703C7">
      <w:pPr>
        <w:spacing w:after="0" w:line="240" w:lineRule="auto"/>
      </w:pPr>
      <w:r>
        <w:separator/>
      </w:r>
    </w:p>
  </w:endnote>
  <w:endnote w:type="continuationSeparator" w:id="0">
    <w:p w:rsidR="00B14025" w:rsidRDefault="00B1402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25" w:rsidRDefault="00B14025" w:rsidP="009703C7">
      <w:pPr>
        <w:spacing w:after="0" w:line="240" w:lineRule="auto"/>
      </w:pPr>
      <w:r>
        <w:separator/>
      </w:r>
    </w:p>
  </w:footnote>
  <w:footnote w:type="continuationSeparator" w:id="0">
    <w:p w:rsidR="00B14025" w:rsidRDefault="00B1402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044">
          <w:rPr>
            <w:noProof/>
          </w:rPr>
          <w:t>4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D6804"/>
    <w:rsid w:val="000E4B35"/>
    <w:rsid w:val="000F2C83"/>
    <w:rsid w:val="000F7EBF"/>
    <w:rsid w:val="001027A4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4025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80990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3044"/>
    <w:rsid w:val="00C043CB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4583-1FBA-4CCF-89D7-D3C3E929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8</cp:revision>
  <cp:lastPrinted>2023-06-08T07:48:00Z</cp:lastPrinted>
  <dcterms:created xsi:type="dcterms:W3CDTF">2023-06-08T07:48:00Z</dcterms:created>
  <dcterms:modified xsi:type="dcterms:W3CDTF">2023-06-13T13:29:00Z</dcterms:modified>
</cp:coreProperties>
</file>