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CA6EED" w:rsidRDefault="00CA6EED" w:rsidP="00CA6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123" w:rsidRPr="00643955" w:rsidRDefault="009D5123" w:rsidP="006439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пятнадцатой сессии Совета муниципального образования городского округа «Усинск» третьего </w:t>
      </w:r>
      <w:r w:rsidR="00643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</w:t>
      </w: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20 октября 2009 года  № 319  «Об утверждении  Правил землепользования и застройки муниципального образования городского округа «Усинск» </w:t>
      </w:r>
    </w:p>
    <w:p w:rsidR="003648BB" w:rsidRPr="003648BB" w:rsidRDefault="003648BB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643955">
        <w:rPr>
          <w:rFonts w:ascii="Times New Roman" w:hAnsi="Times New Roman"/>
          <w:sz w:val="28"/>
          <w:szCs w:val="28"/>
        </w:rPr>
        <w:t>десятой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643955">
        <w:rPr>
          <w:rFonts w:ascii="Times New Roman" w:hAnsi="Times New Roman"/>
          <w:sz w:val="28"/>
          <w:szCs w:val="28"/>
        </w:rPr>
        <w:t xml:space="preserve">       </w:t>
      </w:r>
      <w:r w:rsidR="002E7F4A">
        <w:rPr>
          <w:rFonts w:ascii="Times New Roman" w:hAnsi="Times New Roman"/>
          <w:sz w:val="28"/>
          <w:szCs w:val="28"/>
        </w:rPr>
        <w:t xml:space="preserve">09 </w:t>
      </w:r>
      <w:r w:rsidR="0064395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439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B7" w:rsidRPr="003C0AB7" w:rsidRDefault="00B07A64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A6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A64">
        <w:rPr>
          <w:rFonts w:ascii="Times New Roman" w:eastAsia="Times New Roman" w:hAnsi="Times New Roman"/>
          <w:sz w:val="28"/>
          <w:szCs w:val="28"/>
          <w:lang w:eastAsia="ru-RU"/>
        </w:rPr>
        <w:t xml:space="preserve">34 Градостроительного кодекса Российской Федерации, протоколом публичных слушаний от </w:t>
      </w:r>
      <w:r w:rsidR="00643955" w:rsidRPr="00643955">
        <w:rPr>
          <w:rFonts w:ascii="Times New Roman" w:eastAsia="Times New Roman" w:hAnsi="Times New Roman"/>
          <w:sz w:val="28"/>
          <w:szCs w:val="28"/>
          <w:lang w:eastAsia="ru-RU"/>
        </w:rPr>
        <w:t>11 апреля 2022</w:t>
      </w:r>
      <w:r w:rsidRPr="00B07A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заключени</w:t>
      </w:r>
      <w:r w:rsidR="002A1E5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07A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публичных слушаний от </w:t>
      </w:r>
      <w:r w:rsidR="00643955" w:rsidRPr="006439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34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3955" w:rsidRPr="00643955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2022</w:t>
      </w:r>
      <w:r w:rsidRPr="00B07A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C0AB7" w:rsidRDefault="003C0AB7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B7" w:rsidRDefault="003C0AB7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C0AB7" w:rsidRPr="003C0AB7" w:rsidRDefault="003C0AB7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A64" w:rsidRPr="00B07A64" w:rsidRDefault="003C0AB7" w:rsidP="007A14F0">
      <w:pPr>
        <w:pStyle w:val="ConsNormal"/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right="-185" w:firstLine="709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 w:rsidRPr="00B07A64">
        <w:rPr>
          <w:rFonts w:ascii="Times New Roman" w:hAnsi="Times New Roman"/>
          <w:sz w:val="28"/>
          <w:szCs w:val="28"/>
        </w:rPr>
        <w:t xml:space="preserve">Внести в решение пятнадцатой сессии Совета муниципального образования городского округа «Усинск» третьего созыва от 20 октября 2009 года № 319 «Об утверждении Правил землепользования и застройки муниципального образования городского округа «Усинск» </w:t>
      </w:r>
      <w:r w:rsidR="00B07A64" w:rsidRPr="00B07A64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изменения,</w:t>
      </w:r>
      <w:r w:rsidR="00B07A64" w:rsidRPr="00B07A6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07A64" w:rsidRPr="00B07A64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дополнив </w:t>
      </w:r>
      <w:r w:rsidR="00643955" w:rsidRPr="00643955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перечень условно разрешенного вида использования земельного участка «Сельскохозяйственное обслуживание» территориальной зоны «Р.1. Зона природного ландшафта» статьи 38 позицией, согласно приложению к настоящему решению.</w:t>
      </w:r>
      <w:r w:rsidR="00B07A64" w:rsidRPr="00B07A6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75500C" w:rsidRPr="00B07A64" w:rsidRDefault="00B07A64" w:rsidP="007A14F0">
      <w:pPr>
        <w:pStyle w:val="ConsNormal"/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right="-185" w:firstLine="709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75500C" w:rsidRPr="00B07A64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="0075500C" w:rsidRPr="00B07A64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5500C" w:rsidRDefault="0075500C" w:rsidP="007A14F0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5500C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P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5500C" w:rsidRDefault="0075500C" w:rsidP="0075500C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5500C" w:rsidRDefault="0075500C" w:rsidP="0075500C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</w:t>
      </w:r>
      <w:r w:rsidR="0064395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439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5500C" w:rsidRDefault="0075500C" w:rsidP="0075500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43955">
        <w:rPr>
          <w:rFonts w:ascii="Times New Roman" w:eastAsia="Times New Roman" w:hAnsi="Times New Roman"/>
          <w:sz w:val="28"/>
          <w:szCs w:val="28"/>
          <w:lang w:eastAsia="ru-RU"/>
        </w:rPr>
        <w:t>300</w:t>
      </w: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A64" w:rsidRDefault="00B07A64" w:rsidP="00B07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07A64" w:rsidSect="00B07A64">
          <w:headerReference w:type="default" r:id="rId9"/>
          <w:headerReference w:type="first" r:id="rId10"/>
          <w:pgSz w:w="11906" w:h="16838"/>
          <w:pgMar w:top="709" w:right="707" w:bottom="709" w:left="1418" w:header="568" w:footer="709" w:gutter="0"/>
          <w:cols w:space="708"/>
          <w:titlePg/>
          <w:docGrid w:linePitch="360"/>
        </w:sectPr>
      </w:pPr>
    </w:p>
    <w:p w:rsidR="00B07A64" w:rsidRPr="003A39D1" w:rsidRDefault="00B07A64" w:rsidP="00B07A64">
      <w:pPr>
        <w:spacing w:after="0" w:line="240" w:lineRule="auto"/>
        <w:ind w:left="9923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  <w:r w:rsidR="0090465A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десятой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сессии Совета муниципального образования городского округа «Усинск» шестого созыва</w:t>
      </w:r>
    </w:p>
    <w:p w:rsidR="00B07A64" w:rsidRDefault="00B07A64" w:rsidP="00B07A64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0</w:t>
      </w:r>
      <w:r w:rsidR="00FD1A37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9</w:t>
      </w:r>
      <w:r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90465A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июня 2022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года № </w:t>
      </w:r>
      <w:r w:rsidR="0090465A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300</w:t>
      </w:r>
    </w:p>
    <w:p w:rsidR="00B07A64" w:rsidRDefault="00B07A64" w:rsidP="00B07A64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465A" w:rsidRPr="0090465A" w:rsidRDefault="0090465A" w:rsidP="0090465A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ru-RU"/>
        </w:rPr>
      </w:pPr>
      <w:r w:rsidRPr="0090465A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ru-RU"/>
        </w:rPr>
        <w:t>Р.1. Зона природного ландшафта</w:t>
      </w:r>
    </w:p>
    <w:p w:rsidR="0090465A" w:rsidRPr="004264EC" w:rsidRDefault="0090465A" w:rsidP="0090465A">
      <w:pPr>
        <w:spacing w:after="0" w:line="228" w:lineRule="auto"/>
        <w:jc w:val="center"/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</w:pPr>
      <w:r w:rsidRPr="004264EC"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  <w:t>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</w:t>
      </w:r>
    </w:p>
    <w:p w:rsidR="0090465A" w:rsidRPr="0090465A" w:rsidRDefault="0090465A" w:rsidP="0090465A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ru-RU"/>
        </w:rPr>
      </w:pPr>
    </w:p>
    <w:p w:rsidR="0090465A" w:rsidRPr="0090465A" w:rsidRDefault="0090465A" w:rsidP="0090465A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ru-RU"/>
        </w:rPr>
      </w:pPr>
      <w:r w:rsidRPr="0090465A">
        <w:rPr>
          <w:rFonts w:ascii="Times New Roman" w:eastAsia="Times New Roman" w:hAnsi="Times New Roman"/>
          <w:b/>
          <w:bCs/>
          <w:iCs/>
          <w:kern w:val="32"/>
          <w:sz w:val="28"/>
          <w:szCs w:val="28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B07A64" w:rsidRDefault="00B07A64" w:rsidP="00680B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2552"/>
        <w:gridCol w:w="3118"/>
        <w:gridCol w:w="4678"/>
      </w:tblGrid>
      <w:tr w:rsidR="004264EC" w:rsidRPr="004264EC" w:rsidTr="004264EC">
        <w:trPr>
          <w:trHeight w:val="555"/>
        </w:trPr>
        <w:tc>
          <w:tcPr>
            <w:tcW w:w="2269" w:type="dxa"/>
          </w:tcPr>
          <w:p w:rsidR="004264EC" w:rsidRPr="004264EC" w:rsidRDefault="004264EC" w:rsidP="001677FE">
            <w:pPr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4E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ВИДЫ ИСПОЛЬЗОВАНИЯ по классификатору</w:t>
            </w:r>
            <w:r w:rsidRPr="00426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</w:tcPr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color w:val="000000" w:themeColor="text1"/>
                <w:sz w:val="24"/>
                <w:szCs w:val="24"/>
                <w:lang w:eastAsia="zh-CN"/>
              </w:rPr>
              <w:t>ОПИСАНИЕ ВИДА РАЗРЕШЕННОГО ИСПОЛЬЗОВАНИЯ ЗЕМЕЛЬНОГО УЧАСТКА</w:t>
            </w:r>
          </w:p>
          <w:p w:rsidR="004264EC" w:rsidRPr="004264EC" w:rsidRDefault="004264EC" w:rsidP="001677FE">
            <w:pPr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4E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по классификатору</w:t>
            </w:r>
            <w:r w:rsidRPr="00426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(Приказ Минэкономразвития России от 01.09.2014 № 540)</w:t>
            </w:r>
          </w:p>
        </w:tc>
        <w:tc>
          <w:tcPr>
            <w:tcW w:w="2552" w:type="dxa"/>
          </w:tcPr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color w:val="000000" w:themeColor="text1"/>
                <w:sz w:val="24"/>
                <w:szCs w:val="24"/>
                <w:lang w:eastAsia="zh-CN"/>
              </w:rPr>
              <w:t>НАИМЕНОВАНИЕ ОБЪЕКТОВ СТРОИТЕЛЬСТВА (РЕКОНСТРУКЦИИ)  РАЗРЕШЕННОГО ИСПОЛЬЗОВАНИЯ</w:t>
            </w:r>
          </w:p>
        </w:tc>
        <w:tc>
          <w:tcPr>
            <w:tcW w:w="3118" w:type="dxa"/>
          </w:tcPr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color w:val="000000" w:themeColor="text1"/>
                <w:sz w:val="24"/>
                <w:szCs w:val="24"/>
                <w:lang w:eastAsia="zh-CN"/>
              </w:rPr>
              <w:t xml:space="preserve">ПРЕДЕЛЬНЫЕ РАЗМЕРЫ </w:t>
            </w:r>
            <w:proofErr w:type="gramStart"/>
            <w:r w:rsidRPr="004264EC">
              <w:rPr>
                <w:color w:val="000000" w:themeColor="text1"/>
                <w:sz w:val="24"/>
                <w:szCs w:val="24"/>
                <w:lang w:eastAsia="zh-CN"/>
              </w:rPr>
              <w:t>ЗЕМЕЛЬНОГО</w:t>
            </w:r>
            <w:proofErr w:type="gramEnd"/>
          </w:p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color w:val="000000" w:themeColor="text1"/>
                <w:sz w:val="24"/>
                <w:szCs w:val="24"/>
                <w:lang w:eastAsia="zh-CN"/>
              </w:rPr>
              <w:t>УЧАСТКА И ПРЕДЕЛЬНЫЕ ПАРАМЕТРЫ РАЗРЕШЕННОГО СТРОИТЕЛЬСТВА</w:t>
            </w:r>
          </w:p>
        </w:tc>
        <w:tc>
          <w:tcPr>
            <w:tcW w:w="4678" w:type="dxa"/>
          </w:tcPr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color w:val="000000" w:themeColor="text1"/>
                <w:sz w:val="24"/>
                <w:szCs w:val="24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4264EC" w:rsidRPr="004264EC" w:rsidTr="004264EC">
        <w:trPr>
          <w:trHeight w:val="555"/>
        </w:trPr>
        <w:tc>
          <w:tcPr>
            <w:tcW w:w="15593" w:type="dxa"/>
            <w:gridSpan w:val="5"/>
            <w:vAlign w:val="center"/>
          </w:tcPr>
          <w:p w:rsidR="004264EC" w:rsidRPr="004264EC" w:rsidRDefault="004264EC" w:rsidP="001677FE">
            <w:pPr>
              <w:pStyle w:val="af3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ДОПОЛНИТЬ:</w:t>
            </w:r>
          </w:p>
        </w:tc>
      </w:tr>
      <w:tr w:rsidR="004264EC" w:rsidRPr="004264EC" w:rsidTr="004264EC">
        <w:trPr>
          <w:trHeight w:val="525"/>
        </w:trPr>
        <w:tc>
          <w:tcPr>
            <w:tcW w:w="2269" w:type="dxa"/>
          </w:tcPr>
          <w:p w:rsidR="004264EC" w:rsidRPr="004264EC" w:rsidRDefault="004264EC" w:rsidP="001677F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2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2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proofErr w:type="gramEnd"/>
            <w:r w:rsidRPr="0042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2976" w:type="dxa"/>
          </w:tcPr>
          <w:p w:rsidR="004264EC" w:rsidRPr="004264EC" w:rsidRDefault="004264EC" w:rsidP="004264EC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вида разрешенного использования рыбоводство</w:t>
            </w:r>
          </w:p>
        </w:tc>
        <w:tc>
          <w:tcPr>
            <w:tcW w:w="2552" w:type="dxa"/>
          </w:tcPr>
          <w:p w:rsidR="004264EC" w:rsidRPr="004264EC" w:rsidRDefault="004264EC" w:rsidP="004264EC">
            <w:pPr>
              <w:pStyle w:val="af3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4264EC" w:rsidRPr="004264EC" w:rsidRDefault="004264EC" w:rsidP="004264EC">
            <w:pPr>
              <w:pStyle w:val="af3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64EC" w:rsidRPr="004264EC" w:rsidRDefault="004264EC" w:rsidP="004264EC">
            <w:pPr>
              <w:pStyle w:val="af3"/>
              <w:ind w:left="392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</w:p>
          <w:p w:rsidR="004264EC" w:rsidRPr="004264EC" w:rsidRDefault="004264EC" w:rsidP="004264EC">
            <w:pPr>
              <w:pStyle w:val="af3"/>
              <w:ind w:left="392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4264EC" w:rsidRPr="004264EC" w:rsidRDefault="004264EC" w:rsidP="004264EC">
            <w:pPr>
              <w:pStyle w:val="af3"/>
              <w:ind w:left="392"/>
              <w:rPr>
                <w:color w:val="000000" w:themeColor="text1"/>
                <w:sz w:val="24"/>
                <w:szCs w:val="24"/>
              </w:rPr>
            </w:pPr>
          </w:p>
          <w:p w:rsidR="004264EC" w:rsidRPr="004264EC" w:rsidRDefault="004264EC" w:rsidP="004264EC">
            <w:pPr>
              <w:pStyle w:val="af3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4264EC" w:rsidRPr="004264EC" w:rsidTr="004264EC">
        <w:trPr>
          <w:trHeight w:val="693"/>
        </w:trPr>
        <w:tc>
          <w:tcPr>
            <w:tcW w:w="2269" w:type="dxa"/>
          </w:tcPr>
          <w:p w:rsidR="004264EC" w:rsidRPr="004264EC" w:rsidRDefault="004264EC" w:rsidP="001677F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2976" w:type="dxa"/>
          </w:tcPr>
          <w:p w:rsidR="004264EC" w:rsidRPr="004264EC" w:rsidRDefault="004264EC" w:rsidP="004264EC">
            <w:pPr>
              <w:pStyle w:val="af3"/>
              <w:ind w:left="34"/>
              <w:rPr>
                <w:sz w:val="24"/>
                <w:szCs w:val="24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аквакультуры</w:t>
            </w:r>
            <w:proofErr w:type="spellEnd"/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аквакультуры</w:t>
            </w:r>
            <w:proofErr w:type="spellEnd"/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2" w:type="dxa"/>
          </w:tcPr>
          <w:p w:rsidR="004264EC" w:rsidRPr="004264EC" w:rsidRDefault="004264EC" w:rsidP="004264EC">
            <w:pPr>
              <w:pStyle w:val="af3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4264EC" w:rsidRPr="004264EC" w:rsidRDefault="004264EC" w:rsidP="004264EC">
            <w:pPr>
              <w:pStyle w:val="af3"/>
              <w:numPr>
                <w:ilvl w:val="0"/>
                <w:numId w:val="7"/>
              </w:numPr>
              <w:ind w:left="303" w:hanging="28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color w:val="000000" w:themeColor="text1"/>
                <w:sz w:val="24"/>
                <w:szCs w:val="24"/>
              </w:rPr>
              <w:t>размещение зданий, сооружений, используемых для содержания и разведения рыб, производства, хранения и первичной переработки продукции               (для объектов, возведенных до вступления Правил землепользования и застройки);</w:t>
            </w:r>
          </w:p>
        </w:tc>
        <w:tc>
          <w:tcPr>
            <w:tcW w:w="3118" w:type="dxa"/>
          </w:tcPr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минимальная/максимал</w:t>
            </w: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ьная площадь земельных участков</w:t>
            </w: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: с/х назначения  - 500кв.м./300000 кв. м; 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200/10000 кв.</w:t>
            </w:r>
            <w:r w:rsidR="00522F4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м (для участков, расположенных в границах территорий определенных Законом Республики Коми от 19.07.2021г №72-РЗ)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земельных участков вдоль фронта улицы (проезда) – 20 м; 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минимальный отступ от границы земельного участка – 3 м;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максимальное количество надземных этажей зданий – 1 этаж; 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максимальная высота зданий от уровня земли 7 м;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3"/>
              </w:numPr>
              <w:ind w:left="317" w:hanging="283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4264E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678" w:type="dxa"/>
          </w:tcPr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Р.1.ВО. 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Зона природного ландшафта в сфере действия ограничений водоохраной зоны;  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Р.1.ЗВ.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</w:t>
            </w:r>
            <w:proofErr w:type="gramStart"/>
            <w:r w:rsidRPr="004264EC">
              <w:rPr>
                <w:color w:val="000000" w:themeColor="text1"/>
                <w:sz w:val="24"/>
                <w:szCs w:val="24"/>
              </w:rPr>
              <w:t>действия ограничений зоны санитарной охраны источников водоснабжения</w:t>
            </w:r>
            <w:proofErr w:type="gramEnd"/>
            <w:r w:rsidRPr="004264EC">
              <w:rPr>
                <w:color w:val="000000" w:themeColor="text1"/>
                <w:sz w:val="24"/>
                <w:szCs w:val="24"/>
              </w:rPr>
              <w:t>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Р.1.СХ.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действия ограничений санитарно-защитной зоны сельскохозяйственных предприятий;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Р.1.ЖТ.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действия ограничений охранной зоны железнодорожного транспорта;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Р.1.КЛ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>О.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действия ограничений санитарно-защитной зоны</w:t>
            </w: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4264EC">
              <w:rPr>
                <w:color w:val="000000" w:themeColor="text1"/>
                <w:sz w:val="24"/>
                <w:szCs w:val="24"/>
              </w:rPr>
              <w:t>кладбища и санитарно-защитной зоны воздушного транспорта;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Р.1.ЗВ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>О.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</w:t>
            </w:r>
            <w:proofErr w:type="gramStart"/>
            <w:r w:rsidRPr="004264EC">
              <w:rPr>
                <w:color w:val="000000" w:themeColor="text1"/>
                <w:sz w:val="24"/>
                <w:szCs w:val="24"/>
              </w:rPr>
              <w:t>действия ограничений зоны санитарной охраны источников водоснабжения</w:t>
            </w:r>
            <w:proofErr w:type="gramEnd"/>
            <w:r w:rsidRPr="004264EC">
              <w:rPr>
                <w:color w:val="000000" w:themeColor="text1"/>
                <w:sz w:val="24"/>
                <w:szCs w:val="24"/>
              </w:rPr>
              <w:t xml:space="preserve"> и санитарно-защитной зоны полигона твердых бытовых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Р.1.СХ.ЗВ. </w:t>
            </w:r>
            <w:r w:rsidRPr="004264EC">
              <w:rPr>
                <w:color w:val="000000" w:themeColor="text1"/>
                <w:sz w:val="24"/>
                <w:szCs w:val="24"/>
              </w:rPr>
              <w:t>Зона природного ландшафта в сфере действия ограничений  санитарно-защитной зоны сельскохозяйственных предприятий и санитарной охраны источников водоснабжения;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1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Р.1.КО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О. 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Зона природного ландшафта в сфере действия ограничений  санитарно-защитной зоны канализационных </w:t>
            </w:r>
            <w:proofErr w:type="spellStart"/>
            <w:r w:rsidRPr="004264EC">
              <w:rPr>
                <w:color w:val="000000" w:themeColor="text1"/>
                <w:sz w:val="24"/>
                <w:szCs w:val="24"/>
              </w:rPr>
              <w:t>отчистных</w:t>
            </w:r>
            <w:proofErr w:type="spellEnd"/>
            <w:r w:rsidRPr="004264EC">
              <w:rPr>
                <w:color w:val="000000" w:themeColor="text1"/>
                <w:sz w:val="24"/>
                <w:szCs w:val="24"/>
              </w:rPr>
              <w:t xml:space="preserve"> сооружений и санитарно-защитной зоны полигона </w:t>
            </w:r>
            <w:r w:rsidRPr="004264EC">
              <w:rPr>
                <w:color w:val="000000" w:themeColor="text1"/>
                <w:sz w:val="24"/>
                <w:szCs w:val="24"/>
              </w:rPr>
              <w:lastRenderedPageBreak/>
              <w:t>твердых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8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Р.1.КЛ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>О.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действия ограничений санитарно-защитной зоны</w:t>
            </w: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4264EC">
              <w:rPr>
                <w:color w:val="000000" w:themeColor="text1"/>
                <w:sz w:val="24"/>
                <w:szCs w:val="24"/>
              </w:rPr>
              <w:t>полигона твердых бытовых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8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Р.1.ПЗ.КЛ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>О.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природного ландшафта в сфере действия ограничений прибрежной защитной полосы,  санитарно-защитной зоны</w:t>
            </w: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264EC">
              <w:rPr>
                <w:color w:val="000000" w:themeColor="text1"/>
                <w:sz w:val="24"/>
                <w:szCs w:val="24"/>
              </w:rPr>
              <w:t>кладбища и</w:t>
            </w: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264EC">
              <w:rPr>
                <w:color w:val="000000" w:themeColor="text1"/>
                <w:sz w:val="24"/>
                <w:szCs w:val="24"/>
              </w:rPr>
              <w:t>санитарно-защитной зоны полигона твердых бытовых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7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Р.1.ВО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О.БО. </w:t>
            </w:r>
            <w:r w:rsidRPr="004264EC">
              <w:rPr>
                <w:color w:val="000000" w:themeColor="text1"/>
                <w:sz w:val="24"/>
                <w:szCs w:val="24"/>
              </w:rPr>
              <w:t>Зона природного ландшафта в сфере действия ограничений водоохраной зоны, санитарно-защитной зоны</w:t>
            </w: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264EC">
              <w:rPr>
                <w:color w:val="000000" w:themeColor="text1"/>
                <w:sz w:val="24"/>
                <w:szCs w:val="24"/>
              </w:rPr>
              <w:t>канализационных очистных сооружений и санитарно-защитной зоны полигона твердых бытовых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7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Р.1.ПЗ.ВТ.БО. </w:t>
            </w:r>
            <w:r w:rsidRPr="004264EC">
              <w:rPr>
                <w:color w:val="000000" w:themeColor="text1"/>
                <w:sz w:val="24"/>
                <w:szCs w:val="24"/>
              </w:rPr>
              <w:t>Зона природного ландшафта в сфере действия ограничений прибрежной защитной полосы, санитарно-защитной зоны воздушного транспорта и санитарно-защитной зоны полигона твердых бытовых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7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4264EC">
              <w:rPr>
                <w:b/>
                <w:color w:val="000000" w:themeColor="text1"/>
                <w:sz w:val="24"/>
                <w:szCs w:val="24"/>
              </w:rPr>
              <w:t>Р.1.КЛ</w:t>
            </w:r>
            <w:proofErr w:type="gramStart"/>
            <w:r w:rsidRPr="004264EC">
              <w:rPr>
                <w:b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264EC">
              <w:rPr>
                <w:b/>
                <w:color w:val="000000" w:themeColor="text1"/>
                <w:sz w:val="24"/>
                <w:szCs w:val="24"/>
              </w:rPr>
              <w:t xml:space="preserve">Т.БО. </w:t>
            </w:r>
            <w:r w:rsidRPr="004264EC">
              <w:rPr>
                <w:color w:val="000000" w:themeColor="text1"/>
                <w:sz w:val="24"/>
                <w:szCs w:val="24"/>
              </w:rPr>
              <w:t>Зона природного ландшафта в сфере действия ограничений санитарно-защитной зоны кладбища, санитарно-защитной зоны воздушного транспорта и санитарно-защитной зоны полигона твердых бытовых отходов;</w:t>
            </w:r>
          </w:p>
          <w:p w:rsidR="004264EC" w:rsidRPr="004264EC" w:rsidRDefault="004264EC" w:rsidP="004264EC">
            <w:pPr>
              <w:pStyle w:val="af3"/>
              <w:numPr>
                <w:ilvl w:val="0"/>
                <w:numId w:val="7"/>
              </w:numPr>
              <w:ind w:left="34" w:hanging="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264EC">
              <w:rPr>
                <w:b/>
                <w:color w:val="000000" w:themeColor="text1"/>
                <w:sz w:val="24"/>
                <w:szCs w:val="24"/>
              </w:rPr>
              <w:t>ЗЗиП</w:t>
            </w:r>
            <w:proofErr w:type="spellEnd"/>
            <w:r w:rsidRPr="004264EC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4264EC">
              <w:rPr>
                <w:color w:val="000000" w:themeColor="text1"/>
                <w:sz w:val="24"/>
                <w:szCs w:val="24"/>
              </w:rPr>
              <w:t xml:space="preserve"> Зона затопления и подтопления.</w:t>
            </w:r>
          </w:p>
        </w:tc>
      </w:tr>
    </w:tbl>
    <w:p w:rsidR="004264EC" w:rsidRDefault="004264EC" w:rsidP="00680B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264EC" w:rsidSect="00680BB1">
      <w:pgSz w:w="16838" w:h="11906" w:orient="landscape"/>
      <w:pgMar w:top="1418" w:right="709" w:bottom="284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60" w:rsidRDefault="002F2D60" w:rsidP="009703C7">
      <w:pPr>
        <w:spacing w:after="0" w:line="240" w:lineRule="auto"/>
      </w:pPr>
      <w:r>
        <w:separator/>
      </w:r>
    </w:p>
  </w:endnote>
  <w:endnote w:type="continuationSeparator" w:id="0">
    <w:p w:rsidR="002F2D60" w:rsidRDefault="002F2D6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60" w:rsidRDefault="002F2D60" w:rsidP="009703C7">
      <w:pPr>
        <w:spacing w:after="0" w:line="240" w:lineRule="auto"/>
      </w:pPr>
      <w:r>
        <w:separator/>
      </w:r>
    </w:p>
  </w:footnote>
  <w:footnote w:type="continuationSeparator" w:id="0">
    <w:p w:rsidR="002F2D60" w:rsidRDefault="002F2D6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9C">
          <w:rPr>
            <w:noProof/>
          </w:rPr>
          <w:t>5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84"/>
    <w:multiLevelType w:val="hybridMultilevel"/>
    <w:tmpl w:val="4C12AA0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0467"/>
    <w:multiLevelType w:val="hybridMultilevel"/>
    <w:tmpl w:val="107807DA"/>
    <w:lvl w:ilvl="0" w:tplc="23CC96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6035"/>
    <w:multiLevelType w:val="hybridMultilevel"/>
    <w:tmpl w:val="5A40E52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D472F"/>
    <w:multiLevelType w:val="hybridMultilevel"/>
    <w:tmpl w:val="ACD850C8"/>
    <w:lvl w:ilvl="0" w:tplc="5E622DE8">
      <w:start w:val="1"/>
      <w:numFmt w:val="decimal"/>
      <w:lvlText w:val="%1."/>
      <w:lvlJc w:val="left"/>
      <w:pPr>
        <w:ind w:left="2130" w:hanging="141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C72"/>
    <w:rsid w:val="00190E3B"/>
    <w:rsid w:val="001934E8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1DA"/>
    <w:rsid w:val="002248B7"/>
    <w:rsid w:val="00225261"/>
    <w:rsid w:val="002335D1"/>
    <w:rsid w:val="00236E11"/>
    <w:rsid w:val="002500ED"/>
    <w:rsid w:val="0025794A"/>
    <w:rsid w:val="002627DD"/>
    <w:rsid w:val="00264793"/>
    <w:rsid w:val="00272EA8"/>
    <w:rsid w:val="002751C1"/>
    <w:rsid w:val="002804EC"/>
    <w:rsid w:val="002871FE"/>
    <w:rsid w:val="0028774D"/>
    <w:rsid w:val="00296861"/>
    <w:rsid w:val="002A1E5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2D60"/>
    <w:rsid w:val="002F3981"/>
    <w:rsid w:val="002F3B20"/>
    <w:rsid w:val="00300BAB"/>
    <w:rsid w:val="00301464"/>
    <w:rsid w:val="003033CD"/>
    <w:rsid w:val="003073EA"/>
    <w:rsid w:val="00316948"/>
    <w:rsid w:val="00321730"/>
    <w:rsid w:val="003271B7"/>
    <w:rsid w:val="00327286"/>
    <w:rsid w:val="003577BE"/>
    <w:rsid w:val="0036315B"/>
    <w:rsid w:val="003648BB"/>
    <w:rsid w:val="00365444"/>
    <w:rsid w:val="0036639C"/>
    <w:rsid w:val="003669CD"/>
    <w:rsid w:val="00377019"/>
    <w:rsid w:val="00381F89"/>
    <w:rsid w:val="003825CF"/>
    <w:rsid w:val="00384B75"/>
    <w:rsid w:val="003A39D1"/>
    <w:rsid w:val="003C0AB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4EC"/>
    <w:rsid w:val="00426B35"/>
    <w:rsid w:val="00433B54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2F4C"/>
    <w:rsid w:val="00526CB9"/>
    <w:rsid w:val="00527716"/>
    <w:rsid w:val="00531599"/>
    <w:rsid w:val="00531D79"/>
    <w:rsid w:val="0053367D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4CFA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3955"/>
    <w:rsid w:val="00645DF1"/>
    <w:rsid w:val="0066196A"/>
    <w:rsid w:val="0067745B"/>
    <w:rsid w:val="00680BB1"/>
    <w:rsid w:val="00682985"/>
    <w:rsid w:val="00690DE2"/>
    <w:rsid w:val="006951C8"/>
    <w:rsid w:val="006975A7"/>
    <w:rsid w:val="006A1895"/>
    <w:rsid w:val="006A6231"/>
    <w:rsid w:val="006C07BA"/>
    <w:rsid w:val="006C3F85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500C"/>
    <w:rsid w:val="00757327"/>
    <w:rsid w:val="00763B6D"/>
    <w:rsid w:val="007762A9"/>
    <w:rsid w:val="00791BB3"/>
    <w:rsid w:val="007A14F0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0465A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5123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07A64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463E6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6EED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3F23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08CB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D1A37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af2">
    <w:name w:val="Без интервала Знак"/>
    <w:link w:val="af3"/>
    <w:uiPriority w:val="1"/>
    <w:locked/>
    <w:rsid w:val="004264EC"/>
  </w:style>
  <w:style w:type="paragraph" w:styleId="af3">
    <w:name w:val="No Spacing"/>
    <w:link w:val="af2"/>
    <w:uiPriority w:val="1"/>
    <w:qFormat/>
    <w:rsid w:val="0042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af2">
    <w:name w:val="Без интервала Знак"/>
    <w:link w:val="af3"/>
    <w:uiPriority w:val="1"/>
    <w:locked/>
    <w:rsid w:val="004264EC"/>
  </w:style>
  <w:style w:type="paragraph" w:styleId="af3">
    <w:name w:val="No Spacing"/>
    <w:link w:val="af2"/>
    <w:uiPriority w:val="1"/>
    <w:qFormat/>
    <w:rsid w:val="0042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90CB-AF4C-4BDA-8CA8-40029795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15</cp:revision>
  <cp:lastPrinted>2021-09-15T07:22:00Z</cp:lastPrinted>
  <dcterms:created xsi:type="dcterms:W3CDTF">2021-09-13T08:04:00Z</dcterms:created>
  <dcterms:modified xsi:type="dcterms:W3CDTF">2022-06-30T09:31:00Z</dcterms:modified>
</cp:coreProperties>
</file>