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5660BA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5660BA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5660BA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57075" w:rsidRPr="00057075" w:rsidRDefault="00057075" w:rsidP="00057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>О заключении концессионного соглашения в отношении объектов теплоснабжения находящихся в собственности муниципального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</w:t>
      </w:r>
      <w:r w:rsidR="005660B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904F1E" w:rsidRPr="00C56EE1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5660BA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5660BA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075" w:rsidRPr="00057075" w:rsidRDefault="00057075" w:rsidP="00057075">
      <w:pPr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2005 года № 115-ФЗ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О концессионных соглашениях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решением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сентября 2018 года № 225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, Протоколом заседания рабочей группы по рассмотрению заявок о готовности к участию в конкурсе на заключение концессионного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 на условиях, предусмотренных в предложении о заключении концессионного соглашения от 05 апреля 2021 года,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53 Устава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50,53 Устава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057075" w:rsidRPr="00057075" w:rsidRDefault="00057075" w:rsidP="00566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Pr="00057075" w:rsidRDefault="00057075" w:rsidP="005660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57075" w:rsidRPr="00057075" w:rsidRDefault="00057075" w:rsidP="005660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57075" w:rsidRPr="00057075" w:rsidRDefault="00057075" w:rsidP="0005707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Заключить концессионное соглашение в отношении объектов теплоснабжения, находящихся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075" w:rsidRPr="00057075" w:rsidRDefault="00057075" w:rsidP="0005707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Передать объекты теплоснабжения, находящиеся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победителю конкурса на право заключения концессионного соглашения в отношении 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 теплоснабжения, находящихся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075" w:rsidRPr="00057075" w:rsidRDefault="00057075" w:rsidP="0005707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Утвердить: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Порядок взаимодействия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структурных, отраслевых (функциональных) органов администрации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организации мероприятий по заключению концессионного соглашения и передаче муниципального имущества Концессионеру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риложению № 1.</w:t>
      </w:r>
    </w:p>
    <w:p w:rsidR="00057075" w:rsidRPr="00057075" w:rsidRDefault="00057075" w:rsidP="0005707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3.2. </w:t>
      </w:r>
      <w:hyperlink w:anchor="P31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заключении концессионных соглашений в отношении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потенциального Концессионера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риложению № 2.</w:t>
      </w:r>
    </w:p>
    <w:p w:rsidR="00057075" w:rsidRPr="00057075" w:rsidRDefault="00057075" w:rsidP="0005707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бюджета, муниципальному имуществу и развитию территории.</w:t>
      </w:r>
    </w:p>
    <w:p w:rsidR="00057075" w:rsidRDefault="00057075" w:rsidP="00057075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ab/>
        <w:t>5. Настоящее решение вступает в силу со дня подписания.</w:t>
      </w:r>
    </w:p>
    <w:p w:rsidR="00057075" w:rsidRDefault="00057075" w:rsidP="00057075">
      <w:pPr>
        <w:tabs>
          <w:tab w:val="left" w:pos="709"/>
        </w:tabs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Default="00057075" w:rsidP="00057075">
      <w:pPr>
        <w:tabs>
          <w:tab w:val="left" w:pos="709"/>
        </w:tabs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Pr="005D4558" w:rsidRDefault="00057075" w:rsidP="00057075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57075" w:rsidRPr="005D4558" w:rsidRDefault="00057075" w:rsidP="00057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075" w:rsidRPr="00C56EE1" w:rsidRDefault="00057075" w:rsidP="0005707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057075" w:rsidRPr="00C56EE1" w:rsidRDefault="00057075" w:rsidP="00057075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5660BA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057075" w:rsidRDefault="00057075" w:rsidP="0005707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Default="00057075" w:rsidP="0005707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Default="00057075" w:rsidP="0005707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Pr="00952EF6" w:rsidRDefault="00057075" w:rsidP="0005707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057075" w:rsidRPr="00952EF6" w:rsidRDefault="00057075" w:rsidP="00057075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 2021 года</w:t>
      </w:r>
    </w:p>
    <w:p w:rsidR="00057075" w:rsidRDefault="00057075" w:rsidP="00057075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</w:p>
    <w:p w:rsidR="00057075" w:rsidRDefault="00057075" w:rsidP="00057075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val="x-none" w:eastAsia="x-none"/>
        </w:rPr>
        <w:t>«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09 сентября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202</w:t>
      </w:r>
    </w:p>
    <w:p w:rsidR="00057075" w:rsidRDefault="00057075" w:rsidP="0005707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взаимодействия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администрации муниципального образования городского округа 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структурных, отраслевых (функциональных) органов администрации муниципального образования городского округа 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при организации мероприятий по заключению концессионного соглашения и передаче муниципального имущества Концессионеру</w:t>
      </w:r>
    </w:p>
    <w:p w:rsidR="00057075" w:rsidRPr="00057075" w:rsidRDefault="00057075" w:rsidP="000570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заключения концессионных соглашений в отношении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инициативе потенциального инвестора (далее – Концессионер, Инициатор проекта) регулирует взаимодействие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Совет), администрации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Администрации), структурных подразделений и отраслевых (функциональных) органов администрации при организации мероприятий по заключению концессионного соглашения и передаче муниципального имущества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1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июля 2005 года № 115-ФЗ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О концессионных соглашениях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соответствии с Положением о порядке управления и распоряжения имуществом, находящимся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принимает решение о заключение и передаче муниципального имущества по концессионным соглашениям. 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Полномочия </w:t>
      </w:r>
      <w:proofErr w:type="spell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Концедента</w:t>
      </w:r>
      <w:proofErr w:type="spell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заключении и исполнении концессионных соглашений в отношении муниципального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, осуществляет Администрация.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Отдельные права и обязанности </w:t>
      </w:r>
      <w:proofErr w:type="spell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Концедента</w:t>
      </w:r>
      <w:proofErr w:type="spell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объекта концессионного соглашения осуществляются одним или несколькими отраслевыми (функциональными) органами Администрации в соответствии с полномочиями в установленной сфере и условиями концессионного соглашения.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При поступлении в Администрацию предложений от лиц, выступающих с инициативой заключения концессионного соглашения определить Комитет по управлению муниципальным имуществом 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Комитет), органом, уполномоченным на рассмотрение предложений потенциальных инвесторов (Инициаторов проекта).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6. Установить, что инициатором заключения концессионного соглашения может являться отраслевой (функциональный) орган Администрации, заинтересованный в заключени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концессионного соглашения, а также Концессионер, Инициатор проекта.</w:t>
      </w:r>
    </w:p>
    <w:p w:rsidR="00057075" w:rsidRPr="00057075" w:rsidRDefault="00057075" w:rsidP="00057075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Комитет обеспечивает размещение на официальном сайте в информационно-телекоммуникационной сети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информации, подлежащей размещению в соответствии с Федеральным законом от 21 июля 2005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О концессионных соглашениях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075" w:rsidRPr="00057075" w:rsidRDefault="00057075" w:rsidP="00057075">
      <w:pPr>
        <w:spacing w:after="1" w:line="2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0BA" w:rsidRDefault="005660BA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val="x-none" w:eastAsia="x-none"/>
        </w:rPr>
        <w:t>«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057075" w:rsidRPr="00036634" w:rsidRDefault="00057075" w:rsidP="0005707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09 сентября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202</w:t>
      </w:r>
    </w:p>
    <w:p w:rsidR="00057075" w:rsidRDefault="00057075" w:rsidP="0005707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57075" w:rsidRPr="00057075" w:rsidRDefault="00057075" w:rsidP="00057075">
      <w:pPr>
        <w:spacing w:after="1" w:line="22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заключения концессионных соглашений в отношении 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инициативе потенциального Концессионера</w:t>
      </w:r>
    </w:p>
    <w:p w:rsidR="00057075" w:rsidRPr="00057075" w:rsidRDefault="00057075" w:rsidP="00057075">
      <w:pPr>
        <w:spacing w:after="1" w:line="22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7075" w:rsidRPr="00057075" w:rsidRDefault="00057075" w:rsidP="00057075">
      <w:pPr>
        <w:spacing w:after="1" w:line="2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075" w:rsidRPr="00057075" w:rsidRDefault="00057075" w:rsidP="005660BA">
      <w:pPr>
        <w:spacing w:after="0" w:line="30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заключения концессионных соглашений регулирует механизм подготовки и заключения концессионных соглашений, объектом которых является имущество, находящееся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057075" w:rsidRPr="00057075" w:rsidRDefault="00057075" w:rsidP="005660BA">
      <w:pPr>
        <w:spacing w:after="0" w:line="30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Заключение концессионных соглашений осуществляется в соответствии с требованиями Федерального закона от 21.07.2005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О концессионных соглашениях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 № 115-ФЗ), и иных нормативно-правовых актов Российской Федерации, Республики Коми и настоящего Порядка.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реализации Порядка Совет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(далее - Совет) принимает решение о передаче муниципального имущества по концессионным соглашениям в соответствии с Положением о порядке управления и распоряжения имуществом, находящимся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проекта направляет в администрацию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Администрация),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</w:t>
      </w:r>
      <w:hyperlink r:id="rId12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10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115-ФЗ, по </w:t>
      </w:r>
      <w:hyperlink r:id="rId13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31.03.2015 № 300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предложение).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5. Администрация направляет предложение о заключении концессионного соглашения, указанного в п. </w:t>
      </w:r>
      <w:hyperlink w:anchor="P79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комитет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Комитет), который рассматривает предложение о возможности заключения концессионного 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и в случае необходимости проводит переговоры  с инициатором проекта.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6. Для рассмотрения предложения, указанного в </w:t>
      </w:r>
      <w:hyperlink w:anchor="P79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Комитет в течение 10 рабочих дней со дня поступления предложения принимает меры по созданию рабочей группы для заключения и реализации концессионного соглашения   (далее – рабочая группа).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Состав рабочей группы и порядок организации ее работы утверждаются постановлением Администрации. В состав рабочей группы в обязательном порядке включаются представители правового управления, управления экономического развития, прогнозирования и инвестиционной политики Администрации, Комитета, Управления жилищно-коммунального хозяйства Администрации.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7. По результатам рассмотрения предложения, указанного в </w:t>
      </w:r>
      <w:hyperlink w:anchor="P79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рабочей группой, в течение 30 календарных дней со дня поступления от Инициатора проекта предложения, в соответствии с </w:t>
      </w:r>
      <w:hyperlink r:id="rId14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4.4 статьи 37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115-ФЗ, Комитет готовит информацию для подготовки решения о: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условиях.</w:t>
      </w:r>
      <w:proofErr w:type="gramEnd"/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7.2.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7.3.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Решение рабочей группы оформляется протоколом.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Комитет уведомляет Инициатора проекта о принятом решении путем направления в его адрес письма в течение 3-х рабочих дней со дня, следующего за днем принятия решения рабочей группой.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 в заключени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концессионного соглашения допускается в случаях, предусмотренных </w:t>
      </w:r>
      <w:hyperlink r:id="rId15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4.6 статьи 37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 принятии решения рабочей группы о возможности заключения концессионного соглашения, администрация в течение 10 рабочих дней со дня принятия такого решения разрабатывает и вносит на рассмотрение Совета проект решения Совета о передаче муниципального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концессионному соглашению в установленном порядке.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9. Объекты муниципального имущества, находящиеся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6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4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 подлежат включению в Перечень объектов, находящихся в муниципальной 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принятии решения Советом об отказе в передаче муниципального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, по концессионному соглашению Администрация, уведомляет Инициатора проекта путем направления письма Администрации, в течение 3 рабочих дней со дня принятия такого решения с приложением выписки из протокола заседания Совета.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После принятия решения Совета о передаче муниципального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концессионному соглашению, Комитет готовит проект постановления Администрации о заключении концессионного соглашения с учетом требований, предусмотренных частью 2 статьи 22 Федерального закона №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 принятии решения о возможности заключения концессионного соглашения на предложенных инициатором условиях Комитет размещает на официальном сайте в информационно-телекоммуникационной сети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соглашения, в соответствии с </w:t>
      </w:r>
      <w:hyperlink r:id="rId17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4.7 статьи 37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13. В случае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</w:t>
      </w:r>
      <w:proofErr w:type="spell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сорокапятидневный</w:t>
      </w:r>
      <w:proofErr w:type="spell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 момента размещения на официальном сайте в информационно-телекоммуникационной сети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соглашения, поступили заявки о готовности к участию в конкурсе на заключение концессионного соглашения в отношении объекта 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</w:t>
      </w:r>
      <w:hyperlink r:id="rId18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115-ФЗ к Инициатору проекта, Комитет размещает данную информацию на официальном сайте в информационно-телекоммуникационной сети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19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14. Комитет обеспечивает проведение конкурсных процедур в соответствии со </w:t>
      </w:r>
      <w:hyperlink r:id="rId20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23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1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35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15. В случае</w:t>
      </w:r>
      <w:proofErr w:type="gram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</w:t>
      </w:r>
      <w:proofErr w:type="spell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сорокапятидневный</w:t>
      </w:r>
      <w:proofErr w:type="spell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со дня размещения на официальном сайте в информационно-телекоммуникационной сети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hyperlink r:id="rId22" w:history="1">
        <w:proofErr w:type="gramStart"/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115-ФЗ,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23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№ 115-ФЗ, с учетом особенностей установленных </w:t>
      </w:r>
      <w:hyperlink r:id="rId24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4.10 статьи 37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115-ФЗ.</w:t>
      </w:r>
      <w:proofErr w:type="gramEnd"/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16. Концессионное соглашение заключается в порядке, определенном Федеральным </w:t>
      </w:r>
      <w:hyperlink r:id="rId25" w:history="1">
        <w:r w:rsidRPr="000570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115-ФЗ.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17. Полномочия </w:t>
      </w:r>
      <w:proofErr w:type="spellStart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Концедента</w:t>
      </w:r>
      <w:proofErr w:type="spellEnd"/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заключении и исполнении концессионных соглашений в отношении муниципального имущества, находящегося в собственности муниципального образования городского округа 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5660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Администрация.</w:t>
      </w:r>
    </w:p>
    <w:p w:rsidR="00057075" w:rsidRPr="00057075" w:rsidRDefault="00057075" w:rsidP="005660BA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075">
        <w:rPr>
          <w:rFonts w:ascii="Times New Roman" w:eastAsia="Times New Roman" w:hAnsi="Times New Roman"/>
          <w:sz w:val="28"/>
          <w:szCs w:val="28"/>
          <w:lang w:eastAsia="ru-RU"/>
        </w:rPr>
        <w:t>18. Вопросы заключения концессионного соглашения, не предусмотренные настоящим Порядком, регулируются в соответствии с законодательством Российской Федерации, Республики Коми.</w:t>
      </w:r>
    </w:p>
    <w:p w:rsidR="002C6257" w:rsidRPr="000F193E" w:rsidRDefault="002C6257" w:rsidP="005660BA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26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75" w:rsidRDefault="006C0875" w:rsidP="009703C7">
      <w:pPr>
        <w:spacing w:after="0" w:line="240" w:lineRule="auto"/>
      </w:pPr>
      <w:r>
        <w:separator/>
      </w:r>
    </w:p>
  </w:endnote>
  <w:endnote w:type="continuationSeparator" w:id="0">
    <w:p w:rsidR="006C0875" w:rsidRDefault="006C087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75" w:rsidRDefault="006C0875" w:rsidP="009703C7">
      <w:pPr>
        <w:spacing w:after="0" w:line="240" w:lineRule="auto"/>
      </w:pPr>
      <w:r>
        <w:separator/>
      </w:r>
    </w:p>
  </w:footnote>
  <w:footnote w:type="continuationSeparator" w:id="0">
    <w:p w:rsidR="006C0875" w:rsidRDefault="006C087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1A">
          <w:rPr>
            <w:noProof/>
          </w:rPr>
          <w:t>8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0777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57075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263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479B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660B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0875"/>
    <w:rsid w:val="006C4E1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7B17"/>
    <w:rsid w:val="008D79C1"/>
    <w:rsid w:val="008F5C1F"/>
    <w:rsid w:val="00904F1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3EBD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221D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19E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876596F5A1EEDCB1CE825F06C780770AA3708403BEE75DCBDE10CE46B347850EF1985C11CF14955BD4B6E48FB3267AD94E7F34A15239BDq1dEG" TargetMode="External"/><Relationship Id="rId18" Type="http://schemas.openxmlformats.org/officeDocument/2006/relationships/hyperlink" Target="consultantplus://offline/ref=76876596F5A1EEDCB1CE825F06C7807708A377860BBAE75DCBDE10CE46B347851CF1C05011C60A9556C1E0B5C9qEd7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876596F5A1EEDCB1CE825F06C7807708A377860BBAE75DCBDE10CE46B347850EF1985C11CF179750D4B6E48FB3267AD94E7F34A15239BDq1d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876596F5A1EEDCB1CE825F06C7807708A377860BBAE75DCBDE10CE46B347850EF1985C11CF149D51D4B6E48FB3267AD94E7F34A15239BDq1dEG" TargetMode="External"/><Relationship Id="rId17" Type="http://schemas.openxmlformats.org/officeDocument/2006/relationships/hyperlink" Target="consultantplus://offline/ref=76876596F5A1EEDCB1CE825F06C7807708A377860BBAE75DCBDE10CE46B347850EF1985F10C61FC1039BB7B8CBEF357AD44E7D30BDq5d1G" TargetMode="External"/><Relationship Id="rId25" Type="http://schemas.openxmlformats.org/officeDocument/2006/relationships/hyperlink" Target="consultantplus://offline/ref=76876596F5A1EEDCB1CE825F06C7807708A377860BBAE75DCBDE10CE46B347851CF1C05011C60A9556C1E0B5C9qEd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76596F5A1EEDCB1CE825F06C7807708A377860BBAE75DCBDE10CE46B347850EF1985F15CB1FC1039BB7B8CBEF357AD44E7D30BDq5d1G" TargetMode="External"/><Relationship Id="rId20" Type="http://schemas.openxmlformats.org/officeDocument/2006/relationships/hyperlink" Target="consultantplus://offline/ref=76876596F5A1EEDCB1CE825F06C7807708A377860BBAE75DCBDE10CE46B347850EF1985C11CF159252D4B6E48FB3267AD94E7F34A15239BDq1d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FDC3B2ED002FD831702C31AE6DF0ECEDE7F7F3179DA8E03F5C909BFE155249D5FCEF088496EE107C72CFFB9930A1M" TargetMode="External"/><Relationship Id="rId24" Type="http://schemas.openxmlformats.org/officeDocument/2006/relationships/hyperlink" Target="consultantplus://offline/ref=76876596F5A1EEDCB1CE825F06C7807708A377860BBAE75DCBDE10CE46B347850EF1985917CA1FC1039BB7B8CBEF357AD44E7D30BDq5d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876596F5A1EEDCB1CE825F06C7807708A377860BBAE75DCBDE10CE46B347850EF1985F11C81FC1039BB7B8CBEF357AD44E7D30BDq5d1G" TargetMode="External"/><Relationship Id="rId23" Type="http://schemas.openxmlformats.org/officeDocument/2006/relationships/hyperlink" Target="consultantplus://offline/ref=76876596F5A1EEDCB1CE825F06C7807708A377860BBAE75DCBDE10CE46B347851CF1C05011C60A9556C1E0B5C9qEd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6876596F5A1EEDCB1CE9C5210ABDE730DAF298F03BEEB0B9288169919E341D04EB19E09528B199452DFE2B0CBED7F2B94057230B64E39BB0131F526q7d2G" TargetMode="External"/><Relationship Id="rId19" Type="http://schemas.openxmlformats.org/officeDocument/2006/relationships/hyperlink" Target="consultantplus://offline/ref=76876596F5A1EEDCB1CE825F06C7807708A377860BBAE75DCBDE10CE46B347851CF1C05011C60A9556C1E0B5C9qEd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876596F5A1EEDCB1CE825F06C7807708A377860BBAE75DCBDE10CE46B347850EF1985C11CF179754D4B6E48FB3267AD94E7F34A15239BDq1dEG" TargetMode="External"/><Relationship Id="rId14" Type="http://schemas.openxmlformats.org/officeDocument/2006/relationships/hyperlink" Target="consultantplus://offline/ref=76876596F5A1EEDCB1CE825F06C7807708A377860BBAE75DCBDE10CE46B347850EF1985F11CD1FC1039BB7B8CBEF357AD44E7D30BDq5d1G" TargetMode="External"/><Relationship Id="rId22" Type="http://schemas.openxmlformats.org/officeDocument/2006/relationships/hyperlink" Target="consultantplus://offline/ref=76876596F5A1EEDCB1CE825F06C7807708A377860BBAE75DCBDE10CE46B347851CF1C05011C60A9556C1E0B5C9qEd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EDEA-566B-4BD7-88D1-697915CD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1676</Words>
  <Characters>15875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17</cp:revision>
  <cp:lastPrinted>2021-09-10T09:34:00Z</cp:lastPrinted>
  <dcterms:created xsi:type="dcterms:W3CDTF">2021-06-16T09:39:00Z</dcterms:created>
  <dcterms:modified xsi:type="dcterms:W3CDTF">2021-09-20T09:45:00Z</dcterms:modified>
</cp:coreProperties>
</file>